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7EC13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方正小标宋简体" w:hAnsi="方正小标宋简体" w:eastAsia="方正小标宋简体" w:cs="方正小标宋简体"/>
          <w:color w:val="000000" w:themeColor="text1"/>
          <w:sz w:val="44"/>
          <w:szCs w:val="44"/>
          <w:highlight w:val="none"/>
          <w:lang w:val="en-US" w:eastAsia="zh-CN"/>
          <w14:textFill>
            <w14:solidFill>
              <w14:schemeClr w14:val="tx1"/>
            </w14:solidFill>
          </w14:textFill>
        </w:rPr>
      </w:pPr>
      <w:bookmarkStart w:id="1" w:name="_GoBack"/>
      <w:bookmarkEnd w:id="1"/>
      <w:r>
        <w:rPr>
          <w:rFonts w:hint="eastAsia" w:ascii="黑体" w:hAnsi="黑体" w:eastAsia="黑体" w:cs="黑体"/>
          <w:color w:val="000000" w:themeColor="text1"/>
          <w:sz w:val="32"/>
          <w:szCs w:val="32"/>
          <w:highlight w:val="none"/>
          <w:lang w:val="en-US" w:eastAsia="zh-CN"/>
          <w14:textFill>
            <w14:solidFill>
              <w14:schemeClr w14:val="tx1"/>
            </w14:solidFill>
          </w14:textFill>
        </w:rPr>
        <w:t>附件5</w:t>
      </w:r>
    </w:p>
    <w:p w14:paraId="7B9F743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pPr>
    </w:p>
    <w:p w14:paraId="7807ADA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t>少数民族高层次骨干人才</w:t>
      </w:r>
      <w:r>
        <w:rPr>
          <w:rFonts w:hint="eastAsia" w:ascii="方正小标宋简体" w:hAnsi="方正小标宋简体" w:eastAsia="方正小标宋简体" w:cs="方正小标宋简体"/>
          <w:color w:val="000000" w:themeColor="text1"/>
          <w:sz w:val="44"/>
          <w:szCs w:val="44"/>
          <w:highlight w:val="none"/>
          <w:lang w:val="en-US" w:eastAsia="zh-CN"/>
          <w14:textFill>
            <w14:solidFill>
              <w14:schemeClr w14:val="tx1"/>
            </w14:solidFill>
          </w14:textFill>
        </w:rPr>
        <w:t>计划</w:t>
      </w: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br w:type="textWrapping"/>
      </w: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t>南疆高校教师专项</w:t>
      </w: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定向</w:t>
      </w: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t>就业</w:t>
      </w: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协议书</w:t>
      </w:r>
    </w:p>
    <w:p w14:paraId="094478F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楷体_GB2312" w:hAnsi="楷体_GB2312" w:eastAsia="楷体_GB2312" w:cs="楷体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t>（在职考生）</w:t>
      </w:r>
    </w:p>
    <w:p w14:paraId="03C4698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outlineLvl w:val="9"/>
        <w:rPr>
          <w:rFonts w:hint="default" w:ascii="Times New Roman" w:hAnsi="Times New Roman" w:eastAsia="方正仿宋_GBK" w:cs="Times New Roman"/>
          <w:color w:val="000000" w:themeColor="text1"/>
          <w:sz w:val="32"/>
          <w:szCs w:val="32"/>
          <w:highlight w:val="none"/>
          <w14:textFill>
            <w14:solidFill>
              <w14:schemeClr w14:val="tx1"/>
            </w14:solidFill>
          </w14:textFill>
        </w:rPr>
      </w:pPr>
    </w:p>
    <w:p w14:paraId="36E5795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甲方</w:t>
      </w:r>
      <w:r>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32"/>
          <w:szCs w:val="32"/>
          <w:highlight w:val="none"/>
          <w14:textFill>
            <w14:solidFill>
              <w14:schemeClr w14:val="tx1"/>
            </w14:solidFill>
          </w14:textFill>
        </w:rPr>
        <w:t>招生</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培养</w:t>
      </w:r>
      <w:r>
        <w:rPr>
          <w:rFonts w:hint="eastAsia" w:ascii="楷体_GB2312" w:hAnsi="楷体_GB2312" w:eastAsia="楷体_GB2312" w:cs="楷体_GB2312"/>
          <w:color w:val="000000" w:themeColor="text1"/>
          <w:sz w:val="32"/>
          <w:szCs w:val="32"/>
          <w:highlight w:val="none"/>
          <w14:textFill>
            <w14:solidFill>
              <w14:schemeClr w14:val="tx1"/>
            </w14:solidFill>
          </w14:textFill>
        </w:rPr>
        <w:t>单位</w:t>
      </w:r>
      <w:r>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32"/>
          <w:szCs w:val="32"/>
          <w:highlight w:val="none"/>
          <w14:textFill>
            <w14:solidFill>
              <w14:schemeClr w14:val="tx1"/>
            </w14:solidFill>
          </w14:textFill>
        </w:rPr>
        <w:t>：</w:t>
      </w:r>
    </w:p>
    <w:p w14:paraId="446F9FC3">
      <w:pPr>
        <w:keepNext w:val="0"/>
        <w:keepLines w:val="0"/>
        <w:pageBreakBefore w:val="0"/>
        <w:widowControl w:val="0"/>
        <w:kinsoku/>
        <w:wordWrap/>
        <w:overflowPunct/>
        <w:topLinePunct w:val="0"/>
        <w:autoSpaceDE/>
        <w:autoSpaceDN/>
        <w:bidi w:val="0"/>
        <w:adjustRightInd/>
        <w:snapToGrid/>
        <w:spacing w:line="600" w:lineRule="exact"/>
        <w:ind w:left="3920" w:leftChars="0" w:right="0" w:rightChars="0" w:hanging="3920" w:hangingChars="1225"/>
        <w:textAlignment w:val="auto"/>
        <w:outlineLvl w:val="9"/>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default" w:ascii="楷体_GB2312" w:hAnsi="楷体_GB2312" w:eastAsia="楷体_GB2312" w:cs="楷体_GB2312"/>
          <w:color w:val="000000" w:themeColor="text1"/>
          <w:sz w:val="32"/>
          <w:szCs w:val="32"/>
          <w:highlight w:val="none"/>
          <w14:textFill>
            <w14:solidFill>
              <w14:schemeClr w14:val="tx1"/>
            </w14:solidFill>
          </w14:textFill>
        </w:rPr>
        <w:t>乙方</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定向</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单位所在省级教育行政部门</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w:t>
      </w:r>
    </w:p>
    <w:p w14:paraId="7C11EC6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outlineLvl w:val="9"/>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default" w:ascii="楷体_GB2312" w:hAnsi="楷体_GB2312" w:eastAsia="楷体_GB2312" w:cs="楷体_GB2312"/>
          <w:color w:val="000000" w:themeColor="text1"/>
          <w:sz w:val="32"/>
          <w:szCs w:val="32"/>
          <w:highlight w:val="none"/>
          <w14:textFill>
            <w14:solidFill>
              <w14:schemeClr w14:val="tx1"/>
            </w14:solidFill>
          </w14:textFill>
        </w:rPr>
        <w:t>丙方</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定向生本人</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w:t>
      </w:r>
    </w:p>
    <w:p w14:paraId="39FBB377">
      <w:pPr>
        <w:keepNext w:val="0"/>
        <w:keepLines w:val="0"/>
        <w:pageBreakBefore w:val="0"/>
        <w:widowControl w:val="0"/>
        <w:kinsoku/>
        <w:wordWrap/>
        <w:overflowPunct/>
        <w:topLinePunct w:val="0"/>
        <w:autoSpaceDE/>
        <w:autoSpaceDN/>
        <w:bidi w:val="0"/>
        <w:adjustRightInd/>
        <w:snapToGrid/>
        <w:spacing w:line="600" w:lineRule="exact"/>
        <w:ind w:firstLine="960" w:firstLineChars="3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身份证号：</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p>
    <w:p w14:paraId="58AA645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outlineLvl w:val="9"/>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丁</w:t>
      </w:r>
      <w:r>
        <w:rPr>
          <w:rFonts w:hint="default" w:ascii="楷体_GB2312" w:hAnsi="楷体_GB2312" w:eastAsia="楷体_GB2312" w:cs="楷体_GB2312"/>
          <w:color w:val="000000" w:themeColor="text1"/>
          <w:sz w:val="32"/>
          <w:szCs w:val="32"/>
          <w:highlight w:val="none"/>
          <w14:textFill>
            <w14:solidFill>
              <w14:schemeClr w14:val="tx1"/>
            </w14:solidFill>
          </w14:textFill>
        </w:rPr>
        <w:t>方</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定向生本人</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目前就业单位</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w:t>
      </w:r>
    </w:p>
    <w:p w14:paraId="3630CF86">
      <w:pPr>
        <w:keepNext w:val="0"/>
        <w:keepLines w:val="0"/>
        <w:pageBreakBefore w:val="0"/>
        <w:widowControl w:val="0"/>
        <w:kinsoku/>
        <w:wordWrap/>
        <w:overflowPunct/>
        <w:topLinePunct w:val="0"/>
        <w:autoSpaceDE/>
        <w:autoSpaceDN/>
        <w:bidi w:val="0"/>
        <w:adjustRightInd/>
        <w:snapToGrid/>
        <w:spacing w:line="600" w:lineRule="exact"/>
        <w:ind w:firstLine="960" w:firstLineChars="3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社会机构代码</w:t>
      </w:r>
      <w:r>
        <w:rPr>
          <w:rFonts w:hint="eastAsia" w:ascii="楷体_GB2312" w:hAnsi="楷体_GB2312" w:eastAsia="楷体_GB2312" w:cs="楷体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p>
    <w:p w14:paraId="383D444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eastAsia="zh-CN"/>
          <w14:textFill>
            <w14:solidFill>
              <w14:schemeClr w14:val="tx1"/>
            </w14:solidFill>
          </w14:textFill>
        </w:rPr>
      </w:pPr>
    </w:p>
    <w:p w14:paraId="6945873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仿宋_GB2312"/>
          <w:color w:val="000000" w:themeColor="text1"/>
          <w:sz w:val="32"/>
          <w:szCs w:val="32"/>
          <w:highlight w:val="none"/>
          <w:lang w:eastAsia="zh-CN"/>
          <w14:textFill>
            <w14:solidFill>
              <w14:schemeClr w14:val="tx1"/>
            </w14:solidFill>
          </w14:textFill>
        </w:rPr>
        <w:t>少数民族高层次骨干人才</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计划</w:t>
      </w:r>
      <w:r>
        <w:rPr>
          <w:rFonts w:hint="default" w:ascii="Times New Roman" w:hAnsi="Times New Roman" w:eastAsia="仿宋_GB2312" w:cs="仿宋_GB2312"/>
          <w:color w:val="000000" w:themeColor="text1"/>
          <w:sz w:val="32"/>
          <w:szCs w:val="32"/>
          <w:highlight w:val="none"/>
          <w:lang w:eastAsia="zh-CN"/>
          <w14:textFill>
            <w14:solidFill>
              <w14:schemeClr w14:val="tx1"/>
            </w14:solidFill>
          </w14:textFill>
        </w:rPr>
        <w:t>南疆高校教师专项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以下简称南疆高校教师专项）</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，旨在</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为新疆维吾尔自治区南疆地区（包括阿克苏地区、喀什地区、和田地区、巴音郭楞蒙古自治州、克孜勒苏柯尔克孜自治州；兵团第一师、第二师、第三师、第十四师、兵地融合发展草湖项目区）高校</w:t>
      </w:r>
      <w:r>
        <w:rPr>
          <w:rFonts w:hint="eastAsia" w:ascii="Times New Roman" w:hAnsi="Times New Roman" w:eastAsia="仿宋_GB2312" w:cs="仿宋_GB2312"/>
          <w:color w:val="000000" w:themeColor="text1"/>
          <w:sz w:val="32"/>
          <w:szCs w:val="32"/>
          <w:highlight w:val="none"/>
          <w14:textFill>
            <w14:solidFill>
              <w14:schemeClr w14:val="tx1"/>
            </w14:solidFill>
          </w14:textFill>
        </w:rPr>
        <w:t>培养优秀</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师资</w:t>
      </w:r>
      <w:r>
        <w:rPr>
          <w:rFonts w:hint="eastAsia" w:ascii="Times New Roman" w:hAnsi="Times New Roman" w:eastAsia="仿宋_GB2312" w:cs="仿宋_GB2312"/>
          <w:color w:val="000000" w:themeColor="text1"/>
          <w:sz w:val="32"/>
          <w:szCs w:val="32"/>
          <w:highlight w:val="none"/>
          <w14:textFill>
            <w14:solidFill>
              <w14:schemeClr w14:val="tx1"/>
            </w14:solidFill>
          </w14:textFill>
        </w:rPr>
        <w:t>，鼓励优秀人才</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在南疆地区高校</w:t>
      </w:r>
      <w:r>
        <w:rPr>
          <w:rFonts w:hint="eastAsia" w:ascii="Times New Roman" w:hAnsi="Times New Roman" w:eastAsia="仿宋_GB2312" w:cs="仿宋_GB2312"/>
          <w:color w:val="000000" w:themeColor="text1"/>
          <w:sz w:val="32"/>
          <w:szCs w:val="32"/>
          <w:highlight w:val="none"/>
          <w14:textFill>
            <w14:solidFill>
              <w14:schemeClr w14:val="tx1"/>
            </w14:solidFill>
          </w14:textFill>
        </w:rPr>
        <w:t>从教。根据相关法律法规</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及</w:t>
      </w:r>
      <w:r>
        <w:rPr>
          <w:rFonts w:hint="default" w:ascii="Times New Roman" w:hAnsi="Times New Roman" w:eastAsia="仿宋_GB2312" w:cs="仿宋_GB2312"/>
          <w:color w:val="000000" w:themeColor="text1"/>
          <w:sz w:val="32"/>
          <w:szCs w:val="32"/>
          <w:highlight w:val="none"/>
          <w:lang w:eastAsia="zh-CN"/>
          <w14:textFill>
            <w14:solidFill>
              <w14:schemeClr w14:val="tx1"/>
            </w14:solidFill>
          </w14:textFill>
        </w:rPr>
        <w:t>少数民族高层次骨干人才</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研究生招生计划实施政策</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制订本协议，</w:t>
      </w:r>
      <w:r>
        <w:rPr>
          <w:rFonts w:hint="eastAsia" w:ascii="Times New Roman" w:hAnsi="Times New Roman" w:eastAsia="仿宋_GB2312" w:cs="仿宋_GB2312"/>
          <w:color w:val="000000" w:themeColor="text1"/>
          <w:sz w:val="32"/>
          <w:szCs w:val="32"/>
          <w:highlight w:val="none"/>
          <w14:textFill>
            <w14:solidFill>
              <w14:schemeClr w14:val="tx1"/>
            </w14:solidFill>
          </w14:textFill>
        </w:rPr>
        <w:t>甲、乙、丙</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丁四</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方共同遵守</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p>
    <w:p w14:paraId="3F6FA586">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一、协议签订前提</w:t>
      </w:r>
    </w:p>
    <w:p w14:paraId="0A6D901D">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pPr>
      <w:r>
        <w:rPr>
          <w:rFonts w:hint="eastAsia" w:ascii="仿宋_GB2312" w:hAnsi="宋体" w:eastAsia="仿宋_GB2312"/>
          <w:color w:val="000000" w:themeColor="text1"/>
          <w:sz w:val="32"/>
          <w:szCs w:val="32"/>
          <w:highlight w:val="none"/>
          <w:lang w:val="en-US" w:eastAsia="zh-CN"/>
          <w14:textFill>
            <w14:solidFill>
              <w14:schemeClr w14:val="tx1"/>
            </w14:solidFill>
          </w14:textFill>
        </w:rPr>
        <w:t>丙</w:t>
      </w:r>
      <w:r>
        <w:rPr>
          <w:rFonts w:hint="eastAsia" w:ascii="仿宋_GB2312" w:hAnsi="宋体" w:eastAsia="仿宋_GB2312"/>
          <w:color w:val="000000" w:themeColor="text1"/>
          <w:sz w:val="32"/>
          <w:szCs w:val="32"/>
          <w:highlight w:val="none"/>
          <w14:textFill>
            <w14:solidFill>
              <w14:schemeClr w14:val="tx1"/>
            </w14:solidFill>
          </w14:textFill>
        </w:rPr>
        <w:t>方具有</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南疆教师专项报考</w:t>
      </w:r>
      <w:r>
        <w:rPr>
          <w:rFonts w:hint="eastAsia" w:ascii="仿宋_GB2312" w:hAnsi="宋体" w:eastAsia="仿宋_GB2312"/>
          <w:color w:val="000000" w:themeColor="text1"/>
          <w:sz w:val="32"/>
          <w:szCs w:val="32"/>
          <w:highlight w:val="none"/>
          <w14:textFill>
            <w14:solidFill>
              <w14:schemeClr w14:val="tx1"/>
            </w14:solidFill>
          </w14:textFill>
        </w:rPr>
        <w:t>资格，</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了解相关政策，</w:t>
      </w:r>
      <w:r>
        <w:rPr>
          <w:rFonts w:hint="eastAsia" w:ascii="仿宋_GB2312" w:hAnsi="宋体" w:eastAsia="仿宋_GB2312"/>
          <w:color w:val="000000" w:themeColor="text1"/>
          <w:sz w:val="32"/>
          <w:szCs w:val="32"/>
          <w:highlight w:val="none"/>
          <w14:textFill>
            <w14:solidFill>
              <w14:schemeClr w14:val="tx1"/>
            </w14:solidFill>
          </w14:textFill>
        </w:rPr>
        <w:t>有志于</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在南疆地区高校</w:t>
      </w:r>
      <w:r>
        <w:rPr>
          <w:rFonts w:hint="eastAsia" w:ascii="仿宋_GB2312" w:hAnsi="宋体" w:eastAsia="仿宋_GB2312"/>
          <w:color w:val="000000" w:themeColor="text1"/>
          <w:sz w:val="32"/>
          <w:szCs w:val="32"/>
          <w:highlight w:val="none"/>
          <w14:textFill>
            <w14:solidFill>
              <w14:schemeClr w14:val="tx1"/>
            </w14:solidFill>
          </w14:textFill>
        </w:rPr>
        <w:t>从教，自愿报考</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南疆高校教师专项</w:t>
      </w:r>
      <w:r>
        <w:rPr>
          <w:rFonts w:hint="eastAsia" w:ascii="仿宋_GB2312" w:hAnsi="宋体" w:eastAsia="仿宋_GB2312"/>
          <w:color w:val="000000" w:themeColor="text1"/>
          <w:sz w:val="32"/>
          <w:szCs w:val="32"/>
          <w:highlight w:val="none"/>
          <w:lang w:eastAsia="zh-CN"/>
          <w14:textFill>
            <w14:solidFill>
              <w14:schemeClr w14:val="tx1"/>
            </w14:solidFill>
          </w14:textFill>
        </w:rPr>
        <w:t>。</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经乙方</w:t>
      </w:r>
      <w:r>
        <w:rPr>
          <w:rFonts w:hint="eastAsia" w:ascii="仿宋_GB2312" w:hAnsi="宋体" w:eastAsia="仿宋_GB2312"/>
          <w:color w:val="000000" w:themeColor="text1"/>
          <w:sz w:val="32"/>
          <w:szCs w:val="32"/>
          <w:highlight w:val="none"/>
          <w14:textFill>
            <w14:solidFill>
              <w14:schemeClr w14:val="tx1"/>
            </w14:solidFill>
          </w14:textFill>
        </w:rPr>
        <w:t>审核，</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丁方同意，甲方确认丙方符合报考条件。甲方按照研究生招生录取有关规定，录取</w:t>
      </w:r>
      <w:r>
        <w:rPr>
          <w:rFonts w:hint="eastAsia" w:ascii="Times New Roman" w:hAnsi="Times New Roman" w:eastAsia="方正仿宋_GBK" w:cs="Times New Roman"/>
          <w:color w:val="000000" w:themeColor="text1"/>
          <w:sz w:val="32"/>
          <w:szCs w:val="32"/>
          <w:highlight w:val="none"/>
          <w:lang w:eastAsia="zh-CN"/>
          <w14:textFill>
            <w14:solidFill>
              <w14:schemeClr w14:val="tx1"/>
            </w14:solidFill>
          </w14:textFill>
        </w:rPr>
        <w:t>丙方为</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本校</w:t>
      </w:r>
      <w:r>
        <w:rPr>
          <w:rFonts w:hint="eastAsia" w:ascii="Times New Roman" w:hAnsi="Times New Roman" w:eastAsia="方正仿宋_GBK" w:cs="Times New Roman"/>
          <w:color w:val="000000" w:themeColor="text1"/>
          <w:sz w:val="32"/>
          <w:szCs w:val="32"/>
          <w:highlight w:val="none"/>
          <w:u w:val="single"/>
          <w:lang w:val="en-US" w:eastAsia="zh-CN"/>
          <w14:textFill>
            <w14:solidFill>
              <w14:schemeClr w14:val="tx1"/>
            </w14:solidFill>
          </w14:textFill>
        </w:rPr>
        <w:t xml:space="preserve">     </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学院（系、部、所）</w:t>
      </w:r>
      <w:r>
        <w:rPr>
          <w:rFonts w:hint="eastAsia" w:ascii="Times New Roman" w:hAnsi="Times New Roman" w:eastAsia="方正仿宋_GBK" w:cs="Times New Roman"/>
          <w:color w:val="000000" w:themeColor="text1"/>
          <w:sz w:val="32"/>
          <w:szCs w:val="32"/>
          <w:highlight w:val="none"/>
          <w:u w:val="single"/>
          <w:lang w:val="en-US" w:eastAsia="zh-CN"/>
          <w14:textFill>
            <w14:solidFill>
              <w14:schemeClr w14:val="tx1"/>
            </w14:solidFill>
          </w14:textFill>
        </w:rPr>
        <w:t xml:space="preserve">     </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年</w:t>
      </w:r>
      <w:r>
        <w:rPr>
          <w:rFonts w:hint="eastAsia" w:ascii="Times New Roman" w:hAnsi="Times New Roman" w:eastAsia="方正仿宋_GBK" w:cs="Times New Roman"/>
          <w:color w:val="000000" w:themeColor="text1"/>
          <w:sz w:val="32"/>
          <w:szCs w:val="32"/>
          <w:highlight w:val="none"/>
          <w:u w:val="single"/>
          <w:lang w:val="en-US" w:eastAsia="zh-CN"/>
          <w14:textFill>
            <w14:solidFill>
              <w14:schemeClr w14:val="tx1"/>
            </w14:solidFill>
          </w14:textFill>
        </w:rPr>
        <w:t xml:space="preserve">  </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专业□</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全日制/</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 xml:space="preserve">非全日制 </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硕士/</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博士研究生。</w:t>
      </w:r>
    </w:p>
    <w:p w14:paraId="30A5CC3E">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default"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二、甲方的权利义务</w:t>
      </w:r>
    </w:p>
    <w:p w14:paraId="167E0FD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1. </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按照</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为南疆地区高校</w:t>
      </w:r>
      <w:r>
        <w:rPr>
          <w:rFonts w:hint="eastAsia" w:ascii="Times New Roman" w:hAnsi="Times New Roman" w:eastAsia="仿宋_GB2312" w:cs="仿宋_GB2312"/>
          <w:color w:val="000000" w:themeColor="text1"/>
          <w:sz w:val="32"/>
          <w:szCs w:val="32"/>
          <w:highlight w:val="none"/>
          <w14:textFill>
            <w14:solidFill>
              <w14:schemeClr w14:val="tx1"/>
            </w14:solidFill>
          </w14:textFill>
        </w:rPr>
        <w:t>培养优秀</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师资的</w:t>
      </w:r>
      <w:r>
        <w:rPr>
          <w:rFonts w:hint="eastAsia" w:ascii="Times New Roman" w:hAnsi="Times New Roman" w:eastAsia="仿宋_GB2312" w:cs="仿宋_GB2312"/>
          <w:color w:val="000000" w:themeColor="text1"/>
          <w:sz w:val="32"/>
          <w:szCs w:val="32"/>
          <w:highlight w:val="none"/>
          <w14:textFill>
            <w14:solidFill>
              <w14:schemeClr w14:val="tx1"/>
            </w14:solidFill>
          </w14:textFill>
        </w:rPr>
        <w:t>目标，制订培养方案，提供优良的教育教学条件，</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加强对丙</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方</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的</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教育培养。</w:t>
      </w:r>
    </w:p>
    <w:p w14:paraId="3E228DC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按研究生学籍管理</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规定</w:t>
      </w:r>
      <w:r>
        <w:rPr>
          <w:rFonts w:hint="eastAsia" w:ascii="Times New Roman" w:hAnsi="Times New Roman" w:eastAsia="方正仿宋_GBK" w:cs="Times New Roman"/>
          <w:color w:val="000000" w:themeColor="text1"/>
          <w:sz w:val="32"/>
          <w:szCs w:val="32"/>
          <w:highlight w:val="none"/>
          <w:lang w:eastAsia="zh-CN"/>
          <w14:textFill>
            <w14:solidFill>
              <w14:schemeClr w14:val="tx1"/>
            </w14:solidFill>
          </w14:textFill>
        </w:rPr>
        <w:t>及时办理</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丙方</w:t>
      </w:r>
      <w:r>
        <w:rPr>
          <w:rFonts w:hint="eastAsia" w:ascii="Times New Roman" w:hAnsi="Times New Roman" w:eastAsia="方正仿宋_GBK" w:cs="Times New Roman"/>
          <w:color w:val="000000" w:themeColor="text1"/>
          <w:sz w:val="32"/>
          <w:szCs w:val="32"/>
          <w:highlight w:val="none"/>
          <w:lang w:eastAsia="zh-CN"/>
          <w14:textFill>
            <w14:solidFill>
              <w14:schemeClr w14:val="tx1"/>
            </w14:solidFill>
          </w14:textFill>
        </w:rPr>
        <w:t>入学手续并注册学籍，</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按</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普通高等学校学生管理规定</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等</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要求做好</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丙方学习期间</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的管理工作</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p>
    <w:p w14:paraId="4B6BECE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3. </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甲方</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在</w:t>
      </w:r>
      <w:r>
        <w:rPr>
          <w:rFonts w:hint="eastAsia" w:ascii="Times New Roman" w:hAnsi="Times New Roman" w:eastAsia="仿宋_GB2312" w:cs="仿宋_GB2312"/>
          <w:color w:val="000000" w:themeColor="text1"/>
          <w:sz w:val="32"/>
          <w:szCs w:val="32"/>
          <w:highlight w:val="none"/>
          <w14:textFill>
            <w14:solidFill>
              <w14:schemeClr w14:val="tx1"/>
            </w14:solidFill>
          </w14:textFill>
        </w:rPr>
        <w:t>丙方学习期满、</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符合毕业条件</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后</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，准予</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丙方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毕业。</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丙方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符合相应学位授予条件，</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甲方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授予相应学位。丙方</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毕业后，</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甲方将丙方毕业证书、学位证书及就读期间档案等</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集中</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寄送</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丁</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方</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p>
    <w:p w14:paraId="5517B9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4. </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甲方负责落实丙方毕业去向至</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丁方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按有关规定配合将</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丙方党团组织关系</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等转回丁方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p>
    <w:p w14:paraId="446F65AE">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default"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三、乙方的权利义务</w:t>
      </w:r>
    </w:p>
    <w:p w14:paraId="709F5F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shd w:val="clear" w:color="FFFFFF" w:fill="D9D9D9"/>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1. 新疆维吾尔自治区教育厅、新疆生产建设兵团教育局统筹南疆地区高校师资队伍建设需求</w:t>
      </w:r>
      <w:r>
        <w:rPr>
          <w:rFonts w:hint="eastAsia" w:ascii="Times New Roman" w:hAnsi="Times New Roman" w:eastAsia="仿宋_GB2312" w:cs="仿宋_GB2312"/>
          <w:color w:val="000000" w:themeColor="text1"/>
          <w:sz w:val="32"/>
          <w:szCs w:val="32"/>
          <w:highlight w:val="none"/>
          <w:shd w:val="clear" w:color="auto" w:fill="auto"/>
          <w:lang w:val="en-US" w:eastAsia="zh-CN"/>
          <w14:textFill>
            <w14:solidFill>
              <w14:schemeClr w14:val="tx1"/>
            </w14:solidFill>
          </w14:textFill>
        </w:rPr>
        <w:t>，按照属地原则履行乙方权利义务。</w:t>
      </w:r>
    </w:p>
    <w:p w14:paraId="5187041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乙方根据南疆高校建设需要统筹提出培养需求。</w:t>
      </w:r>
    </w:p>
    <w:p w14:paraId="67355236">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default"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四、丙方的权利义务</w:t>
      </w:r>
    </w:p>
    <w:p w14:paraId="5F0D24E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1. </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丙</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方在校学习期间与普通类研究生招生计划录取研究生实行统一标准、统一要求、统一管理，修业年限、学业奖励等在校期间教育管理服务事项，与其他普通类研究生招生计划录取研究生一致。丙方在校期间教育管理服务各类事项，包括出国交换学习、学籍变动、学业奖助等，均按甲方有关规定执行。丙方学习期间不得变更专业。</w:t>
      </w:r>
    </w:p>
    <w:p w14:paraId="05FD37C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丙方按国家及甲方相关规定缴纳学费、住宿费等费用。丙方学习期间不迁转户籍。丙方学习期间工资、福利保障等，按丁方规定执行。</w:t>
      </w:r>
    </w:p>
    <w:p w14:paraId="3EA8C70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3. 丙方在校期间，须严格遵守国家法律法规及甲方各项规章制度，按时完成学业，取得相应的学位证书和毕业证书。</w:t>
      </w:r>
    </w:p>
    <w:p w14:paraId="2392E00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4. 在丙方毕业时，丁方依据学校相关规定落实丙方岗位。丙方毕业后，定向回丁方工作。</w:t>
      </w:r>
    </w:p>
    <w:p w14:paraId="5CDEEC5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5. 丙方毕业回南疆高校工作的服务年限，硕士毕业生不得少于3年（含），博士毕业生</w:t>
      </w:r>
      <w:bookmarkStart w:id="0" w:name="OLE_LINK2"/>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不得少于5年（含</w:t>
      </w:r>
      <w:bookmarkEnd w:id="0"/>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w:t>
      </w:r>
    </w:p>
    <w:p w14:paraId="75A9A81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hAnsi="黑体" w:eastAsia="黑体"/>
          <w:color w:val="000000" w:themeColor="text1"/>
          <w:sz w:val="32"/>
          <w:szCs w:val="32"/>
          <w:highlight w:val="none"/>
          <w:lang w:val="en-US" w:eastAsia="zh-CN"/>
          <w14:textFill>
            <w14:solidFill>
              <w14:schemeClr w14:val="tx1"/>
            </w14:solidFill>
          </w14:textFill>
        </w:rPr>
      </w:pPr>
      <w:r>
        <w:rPr>
          <w:rFonts w:hint="eastAsia" w:ascii="黑体" w:hAnsi="黑体" w:eastAsia="黑体"/>
          <w:color w:val="000000" w:themeColor="text1"/>
          <w:sz w:val="32"/>
          <w:szCs w:val="32"/>
          <w:highlight w:val="none"/>
          <w14:textFill>
            <w14:solidFill>
              <w14:schemeClr w14:val="tx1"/>
            </w14:solidFill>
          </w14:textFill>
        </w:rPr>
        <w:t>五、延长</w:t>
      </w:r>
      <w:r>
        <w:rPr>
          <w:rFonts w:hint="eastAsia" w:ascii="黑体" w:hAnsi="黑体" w:eastAsia="黑体"/>
          <w:color w:val="000000" w:themeColor="text1"/>
          <w:sz w:val="32"/>
          <w:szCs w:val="32"/>
          <w:highlight w:val="none"/>
          <w:lang w:eastAsia="zh-CN"/>
          <w14:textFill>
            <w14:solidFill>
              <w14:schemeClr w14:val="tx1"/>
            </w14:solidFill>
          </w14:textFill>
        </w:rPr>
        <w:t>、</w:t>
      </w:r>
      <w:r>
        <w:rPr>
          <w:rFonts w:hint="eastAsia" w:ascii="黑体" w:hAnsi="黑体" w:eastAsia="黑体"/>
          <w:color w:val="000000" w:themeColor="text1"/>
          <w:sz w:val="32"/>
          <w:szCs w:val="32"/>
          <w:highlight w:val="none"/>
          <w14:textFill>
            <w14:solidFill>
              <w14:schemeClr w14:val="tx1"/>
            </w14:solidFill>
          </w14:textFill>
        </w:rPr>
        <w:t>终止</w:t>
      </w:r>
      <w:r>
        <w:rPr>
          <w:rFonts w:hint="eastAsia" w:ascii="黑体" w:hAnsi="黑体" w:eastAsia="黑体"/>
          <w:color w:val="000000" w:themeColor="text1"/>
          <w:sz w:val="32"/>
          <w:szCs w:val="32"/>
          <w:highlight w:val="none"/>
          <w:lang w:val="en-US" w:eastAsia="zh-CN"/>
          <w14:textFill>
            <w14:solidFill>
              <w14:schemeClr w14:val="tx1"/>
            </w14:solidFill>
          </w14:textFill>
        </w:rPr>
        <w:t>事项</w:t>
      </w:r>
    </w:p>
    <w:p w14:paraId="4D6097F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1. 学习期间如有应征入伍等特殊原因确需休学，由丙方提出书面申请，征得甲方、丁方同意后，按甲方有关规定执行，并书面告知乙方。由于休学造成延期毕业、就业延后的，待情况允许须继续履行协议，履约时间相应延长。</w:t>
      </w:r>
    </w:p>
    <w:p w14:paraId="27601C4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确因身体原因不能完成学业，经甲方指定的二级甲等（含）以上医院认定，可终止协议。</w:t>
      </w:r>
    </w:p>
    <w:p w14:paraId="491AFEB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olor w:val="000000" w:themeColor="text1"/>
          <w:sz w:val="32"/>
          <w:szCs w:val="32"/>
          <w:highlight w:val="none"/>
          <w14:textFill>
            <w14:solidFill>
              <w14:schemeClr w14:val="tx1"/>
            </w14:solidFill>
          </w14:textFill>
        </w:rPr>
      </w:pPr>
      <w:r>
        <w:rPr>
          <w:rFonts w:hint="eastAsia" w:ascii="黑体" w:hAnsi="黑体" w:eastAsia="黑体"/>
          <w:color w:val="000000" w:themeColor="text1"/>
          <w:sz w:val="32"/>
          <w:szCs w:val="32"/>
          <w:highlight w:val="none"/>
          <w14:textFill>
            <w14:solidFill>
              <w14:schemeClr w14:val="tx1"/>
            </w14:solidFill>
          </w14:textFill>
        </w:rPr>
        <w:t>六、违约情形及处理</w:t>
      </w:r>
    </w:p>
    <w:p w14:paraId="7806CF6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1. 丙方学习期间被勒令退学、受开除学籍处分，视为丙方违约，由甲方按有关规定处理，并书面告知乙方、丁方。丙方无故退学，视为违约。丙方未按规定时间取得毕业证书、相应学历学位证书的，视为丙方违约。</w:t>
      </w:r>
    </w:p>
    <w:p w14:paraId="7AA56DE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丙方在报考、学习、就业等环节有弄虚作假或其他违规违纪行为的，依据有关规定处理，视为丙方违约。</w:t>
      </w:r>
    </w:p>
    <w:p w14:paraId="1E6BCC8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3. 丙方毕业后未按协议就业等违约情形，甲方、乙方、丁方均可以通过新媒体平台等向社会公布丙方不守诚信的信息，并按丁方有关规定，由丙方承担相应违约责任或者赔偿责任；学习期间丙方通过甲方、乙方、丁方获得政策资助的，须按原金额一次性退还。</w:t>
      </w:r>
    </w:p>
    <w:p w14:paraId="45B483C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olor w:val="000000" w:themeColor="text1"/>
          <w:sz w:val="32"/>
          <w:szCs w:val="32"/>
          <w:highlight w:val="none"/>
          <w:lang w:eastAsia="zh-CN"/>
          <w14:textFill>
            <w14:solidFill>
              <w14:schemeClr w14:val="tx1"/>
            </w14:solidFill>
          </w14:textFill>
        </w:rPr>
      </w:pPr>
      <w:r>
        <w:rPr>
          <w:rFonts w:hint="eastAsia" w:ascii="黑体" w:hAnsi="黑体" w:eastAsia="黑体"/>
          <w:color w:val="000000" w:themeColor="text1"/>
          <w:sz w:val="32"/>
          <w:szCs w:val="32"/>
          <w:highlight w:val="none"/>
          <w:lang w:val="en-US" w:eastAsia="zh-CN"/>
          <w14:textFill>
            <w14:solidFill>
              <w14:schemeClr w14:val="tx1"/>
            </w14:solidFill>
          </w14:textFill>
        </w:rPr>
        <w:t>七</w:t>
      </w:r>
      <w:r>
        <w:rPr>
          <w:rFonts w:hint="eastAsia" w:ascii="黑体" w:hAnsi="黑体" w:eastAsia="黑体"/>
          <w:color w:val="000000" w:themeColor="text1"/>
          <w:sz w:val="32"/>
          <w:szCs w:val="32"/>
          <w:highlight w:val="none"/>
          <w14:textFill>
            <w14:solidFill>
              <w14:schemeClr w14:val="tx1"/>
            </w14:solidFill>
          </w14:textFill>
        </w:rPr>
        <w:t>、</w:t>
      </w:r>
      <w:r>
        <w:rPr>
          <w:rFonts w:hint="eastAsia" w:ascii="黑体" w:hAnsi="黑体" w:eastAsia="黑体"/>
          <w:color w:val="000000" w:themeColor="text1"/>
          <w:sz w:val="32"/>
          <w:szCs w:val="32"/>
          <w:highlight w:val="none"/>
          <w:lang w:val="en-US" w:eastAsia="zh-CN"/>
          <w14:textFill>
            <w14:solidFill>
              <w14:schemeClr w14:val="tx1"/>
            </w14:solidFill>
          </w14:textFill>
        </w:rPr>
        <w:t>附则</w:t>
      </w:r>
    </w:p>
    <w:p w14:paraId="25E8AC4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1. </w:t>
      </w:r>
      <w:r>
        <w:rPr>
          <w:rFonts w:hint="eastAsia" w:ascii="仿宋_GB2312" w:hAnsi="宋体" w:eastAsia="仿宋_GB2312"/>
          <w:color w:val="000000" w:themeColor="text1"/>
          <w:sz w:val="32"/>
          <w:szCs w:val="32"/>
          <w:highlight w:val="none"/>
          <w14:textFill>
            <w14:solidFill>
              <w14:schemeClr w14:val="tx1"/>
            </w14:solidFill>
          </w14:textFill>
        </w:rPr>
        <w:t>本协议未尽事宜</w:t>
      </w:r>
      <w:r>
        <w:rPr>
          <w:rFonts w:hint="eastAsia" w:ascii="仿宋_GB2312" w:eastAsia="仿宋_GB2312"/>
          <w:color w:val="000000" w:themeColor="text1"/>
          <w:sz w:val="32"/>
          <w:szCs w:val="32"/>
          <w:highlight w:val="none"/>
          <w14:textFill>
            <w14:solidFill>
              <w14:schemeClr w14:val="tx1"/>
            </w14:solidFill>
          </w14:textFill>
        </w:rPr>
        <w:t>,</w:t>
      </w:r>
      <w:r>
        <w:rPr>
          <w:rFonts w:hint="eastAsia" w:ascii="仿宋_GB2312" w:hAnsi="宋体" w:eastAsia="仿宋_GB2312"/>
          <w:color w:val="000000" w:themeColor="text1"/>
          <w:sz w:val="32"/>
          <w:szCs w:val="32"/>
          <w:highlight w:val="none"/>
          <w14:textFill>
            <w14:solidFill>
              <w14:schemeClr w14:val="tx1"/>
            </w14:solidFill>
          </w14:textFill>
        </w:rPr>
        <w:t>凡属</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政策</w:t>
      </w:r>
      <w:r>
        <w:rPr>
          <w:rFonts w:hint="eastAsia" w:ascii="仿宋_GB2312" w:hAnsi="宋体" w:eastAsia="仿宋_GB2312"/>
          <w:color w:val="000000" w:themeColor="text1"/>
          <w:sz w:val="32"/>
          <w:szCs w:val="32"/>
          <w:highlight w:val="none"/>
          <w14:textFill>
            <w14:solidFill>
              <w14:schemeClr w14:val="tx1"/>
            </w14:solidFill>
          </w14:textFill>
        </w:rPr>
        <w:t>有规定的</w:t>
      </w:r>
      <w:r>
        <w:rPr>
          <w:rFonts w:hint="eastAsia" w:ascii="仿宋_GB2312" w:eastAsia="仿宋_GB2312"/>
          <w:color w:val="000000" w:themeColor="text1"/>
          <w:sz w:val="32"/>
          <w:szCs w:val="32"/>
          <w:highlight w:val="none"/>
          <w14:textFill>
            <w14:solidFill>
              <w14:schemeClr w14:val="tx1"/>
            </w14:solidFill>
          </w14:textFill>
        </w:rPr>
        <w:t>,</w:t>
      </w:r>
      <w:r>
        <w:rPr>
          <w:rFonts w:hint="eastAsia" w:ascii="仿宋_GB2312" w:hAnsi="宋体" w:eastAsia="仿宋_GB2312"/>
          <w:color w:val="000000" w:themeColor="text1"/>
          <w:sz w:val="32"/>
          <w:szCs w:val="32"/>
          <w:highlight w:val="none"/>
          <w14:textFill>
            <w14:solidFill>
              <w14:schemeClr w14:val="tx1"/>
            </w14:solidFill>
          </w14:textFill>
        </w:rPr>
        <w:t>按有关规定执行，其他事宜</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由四</w:t>
      </w:r>
      <w:r>
        <w:rPr>
          <w:rFonts w:hint="eastAsia" w:ascii="仿宋_GB2312" w:hAnsi="宋体" w:eastAsia="仿宋_GB2312"/>
          <w:color w:val="000000" w:themeColor="text1"/>
          <w:sz w:val="32"/>
          <w:szCs w:val="32"/>
          <w:highlight w:val="none"/>
          <w14:textFill>
            <w14:solidFill>
              <w14:schemeClr w14:val="tx1"/>
            </w14:solidFill>
          </w14:textFill>
        </w:rPr>
        <w:t>方协商解决。</w:t>
      </w:r>
    </w:p>
    <w:p w14:paraId="4FDFF1F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2. </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本协议</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通过中国研究生招生信息网“少数民族高层次骨干人才计划资格申请平台”在线签署，在线签署及下载协议版本</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具有同等法律效力。自丙方取得正式学籍（报到）之</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日</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起生效。甲、乙、丙</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、丁四</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方各持一份</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（在线签署后可在线下载），</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一份</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由甲方打印</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存入丙方个人档案。</w:t>
      </w:r>
    </w:p>
    <w:p w14:paraId="1D96E75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p>
    <w:p w14:paraId="1B495DEC">
      <w:pPr>
        <w:keepNext w:val="0"/>
        <w:keepLines w:val="0"/>
        <w:pageBreakBefore w:val="0"/>
        <w:widowControl w:val="0"/>
        <w:kinsoku/>
        <w:wordWrap/>
        <w:overflowPunct/>
        <w:topLinePunct w:val="0"/>
        <w:autoSpaceDE/>
        <w:autoSpaceDN/>
        <w:bidi w:val="0"/>
        <w:adjustRightInd/>
        <w:snapToGrid/>
        <w:spacing w:line="600" w:lineRule="exact"/>
        <w:ind w:right="0" w:rightChars="0"/>
        <w:textAlignment w:val="auto"/>
        <w:outlineLvl w:val="9"/>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pPr>
    </w:p>
    <w:tbl>
      <w:tblPr>
        <w:tblStyle w:val="6"/>
        <w:tblW w:w="914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475"/>
        <w:gridCol w:w="4669"/>
      </w:tblGrid>
      <w:tr w14:paraId="02301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475" w:type="dxa"/>
            <w:tcBorders>
              <w:tl2br w:val="nil"/>
              <w:tr2bl w:val="nil"/>
            </w:tcBorders>
            <w:vAlign w:val="top"/>
          </w:tcPr>
          <w:p w14:paraId="053E721B">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甲</w:t>
            </w:r>
            <w:r>
              <w:rPr>
                <w:rFonts w:hint="eastAsia" w:ascii="楷体_GB2312" w:hAnsi="楷体_GB2312" w:eastAsia="楷体_GB2312" w:cs="楷体_GB2312"/>
                <w:color w:val="000000" w:themeColor="text1"/>
                <w:sz w:val="28"/>
                <w:szCs w:val="28"/>
                <w:highlight w:val="none"/>
                <w14:textFill>
                  <w14:solidFill>
                    <w14:schemeClr w14:val="tx1"/>
                  </w14:solidFill>
                </w14:textFill>
              </w:rPr>
              <w:t>方单位</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盖章</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720B0C47">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法定代表人签字</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593EDDBC">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年</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月</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日</w:t>
            </w:r>
          </w:p>
        </w:tc>
        <w:tc>
          <w:tcPr>
            <w:tcW w:w="4669" w:type="dxa"/>
            <w:tcBorders>
              <w:tl2br w:val="nil"/>
              <w:tr2bl w:val="nil"/>
            </w:tcBorders>
            <w:vAlign w:val="top"/>
          </w:tcPr>
          <w:p w14:paraId="1BBE4BCB">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乙</w:t>
            </w:r>
            <w:r>
              <w:rPr>
                <w:rFonts w:hint="eastAsia" w:ascii="楷体_GB2312" w:hAnsi="楷体_GB2312" w:eastAsia="楷体_GB2312" w:cs="楷体_GB2312"/>
                <w:color w:val="000000" w:themeColor="text1"/>
                <w:sz w:val="28"/>
                <w:szCs w:val="28"/>
                <w:highlight w:val="none"/>
                <w14:textFill>
                  <w14:solidFill>
                    <w14:schemeClr w14:val="tx1"/>
                  </w14:solidFill>
                </w14:textFill>
              </w:rPr>
              <w:t>方单位</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盖章</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27681D48">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法定代表人签字</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4C3CDF51">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年</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月</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日</w:t>
            </w:r>
          </w:p>
        </w:tc>
      </w:tr>
      <w:tr w14:paraId="24C9F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144" w:type="dxa"/>
            <w:gridSpan w:val="2"/>
            <w:tcBorders>
              <w:tl2br w:val="nil"/>
              <w:tr2bl w:val="nil"/>
            </w:tcBorders>
            <w:vAlign w:val="top"/>
          </w:tcPr>
          <w:p w14:paraId="02333D0F">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丙方签字：</w:t>
            </w:r>
          </w:p>
          <w:p w14:paraId="4C6B45A0">
            <w:pPr>
              <w:keepNext w:val="0"/>
              <w:keepLines w:val="0"/>
              <w:pageBreakBefore w:val="0"/>
              <w:widowControl w:val="0"/>
              <w:kinsoku/>
              <w:wordWrap/>
              <w:overflowPunct/>
              <w:topLinePunct w:val="0"/>
              <w:autoSpaceDE/>
              <w:autoSpaceDN/>
              <w:bidi w:val="0"/>
              <w:adjustRightInd/>
              <w:snapToGrid/>
              <w:spacing w:line="540" w:lineRule="exact"/>
              <w:ind w:firstLine="840" w:firstLineChars="300"/>
              <w:textAlignment w:val="auto"/>
              <w:rPr>
                <w:rFonts w:hint="eastAsia" w:ascii="仿宋_GB2312" w:hAnsi="仿宋_GB2312" w:eastAsia="仿宋_GB2312" w:cs="仿宋_GB2312"/>
                <w:color w:val="000000" w:themeColor="text1"/>
                <w:sz w:val="28"/>
                <w:szCs w:val="28"/>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联系地</w:t>
            </w:r>
            <w:r>
              <w:rPr>
                <w:rFonts w:hint="eastAsia" w:ascii="楷体_GB2312" w:hAnsi="楷体_GB2312" w:eastAsia="楷体_GB2312" w:cs="楷体_GB2312"/>
                <w:color w:val="000000" w:themeColor="text1"/>
                <w:sz w:val="28"/>
                <w:szCs w:val="28"/>
                <w:highlight w:val="none"/>
                <w14:textFill>
                  <w14:solidFill>
                    <w14:schemeClr w14:val="tx1"/>
                  </w14:solidFill>
                </w14:textFill>
              </w:rPr>
              <w:t>址：</w:t>
            </w:r>
            <w:r>
              <w:rPr>
                <w:rFonts w:hint="eastAsia" w:ascii="仿宋_GB2312" w:hAnsi="仿宋_GB2312" w:eastAsia="仿宋_GB2312" w:cs="仿宋_GB2312"/>
                <w:color w:val="000000" w:themeColor="text1"/>
                <w:sz w:val="28"/>
                <w:szCs w:val="28"/>
                <w:highlight w:val="none"/>
                <w:lang w:val="en-US" w:eastAsia="zh-CN"/>
                <w14:textFill>
                  <w14:solidFill>
                    <w14:schemeClr w14:val="tx1"/>
                  </w14:solidFill>
                </w14:textFill>
              </w:rPr>
              <w:t xml:space="preserve">                       </w:t>
            </w:r>
          </w:p>
          <w:p w14:paraId="007B4BDC">
            <w:pPr>
              <w:keepNext w:val="0"/>
              <w:keepLines w:val="0"/>
              <w:pageBreakBefore w:val="0"/>
              <w:widowControl w:val="0"/>
              <w:kinsoku/>
              <w:wordWrap/>
              <w:overflowPunct/>
              <w:topLinePunct w:val="0"/>
              <w:autoSpaceDE/>
              <w:autoSpaceDN/>
              <w:bidi w:val="0"/>
              <w:adjustRightInd/>
              <w:snapToGrid/>
              <w:spacing w:line="540" w:lineRule="exact"/>
              <w:ind w:firstLine="840" w:firstLineChars="300"/>
              <w:textAlignment w:val="auto"/>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联系电话：</w:t>
            </w:r>
            <w:r>
              <w:rPr>
                <w:rFonts w:hint="eastAsia" w:ascii="仿宋_GB2312" w:hAnsi="仿宋_GB2312" w:eastAsia="仿宋_GB2312" w:cs="仿宋_GB2312"/>
                <w:color w:val="000000" w:themeColor="text1"/>
                <w:sz w:val="28"/>
                <w:szCs w:val="28"/>
                <w:highlight w:val="none"/>
                <w:lang w:val="en-US" w:eastAsia="zh-CN"/>
                <w14:textFill>
                  <w14:solidFill>
                    <w14:schemeClr w14:val="tx1"/>
                  </w14:solidFill>
                </w14:textFill>
              </w:rPr>
              <w:t xml:space="preserve">                       </w:t>
            </w:r>
          </w:p>
          <w:p w14:paraId="2448B22B">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年</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月</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日</w:t>
            </w:r>
          </w:p>
        </w:tc>
      </w:tr>
      <w:tr w14:paraId="408F7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144" w:type="dxa"/>
            <w:gridSpan w:val="2"/>
            <w:tcBorders>
              <w:tl2br w:val="nil"/>
              <w:tr2bl w:val="nil"/>
            </w:tcBorders>
            <w:vAlign w:val="top"/>
          </w:tcPr>
          <w:p w14:paraId="6E3B710E">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丁方单位</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盖章</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w:t>
            </w:r>
          </w:p>
          <w:p w14:paraId="7EF769F8">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法定代表人签字</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22E400AE">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年</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月</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日</w:t>
            </w:r>
          </w:p>
          <w:p w14:paraId="708F9508">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pPr>
          </w:p>
        </w:tc>
      </w:tr>
    </w:tbl>
    <w:p w14:paraId="6F634837">
      <w:pPr>
        <w:keepNext w:val="0"/>
        <w:keepLines w:val="0"/>
        <w:pageBreakBefore w:val="0"/>
        <w:widowControl w:val="0"/>
        <w:kinsoku/>
        <w:wordWrap/>
        <w:overflowPunct/>
        <w:topLinePunct w:val="0"/>
        <w:autoSpaceDE/>
        <w:autoSpaceDN/>
        <w:bidi w:val="0"/>
        <w:adjustRightInd/>
        <w:snapToGrid/>
        <w:textAlignment w:val="auto"/>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pPr>
      <w:r>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br w:type="page"/>
      </w:r>
    </w:p>
    <w:p w14:paraId="728F208D">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pPr>
    </w:p>
    <w:p w14:paraId="24DB246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t>少数民族高层次骨干人才</w:t>
      </w:r>
      <w:r>
        <w:rPr>
          <w:rFonts w:hint="eastAsia" w:ascii="方正小标宋简体" w:hAnsi="方正小标宋简体" w:eastAsia="方正小标宋简体" w:cs="方正小标宋简体"/>
          <w:color w:val="000000" w:themeColor="text1"/>
          <w:sz w:val="44"/>
          <w:szCs w:val="44"/>
          <w:highlight w:val="none"/>
          <w:lang w:val="en-US" w:eastAsia="zh-CN"/>
          <w14:textFill>
            <w14:solidFill>
              <w14:schemeClr w14:val="tx1"/>
            </w14:solidFill>
          </w14:textFill>
        </w:rPr>
        <w:t>计划</w:t>
      </w: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br w:type="textWrapping"/>
      </w: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t>南疆高校教师专项</w:t>
      </w: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定向</w:t>
      </w:r>
      <w:r>
        <w:rPr>
          <w:rFonts w:hint="eastAsia" w:ascii="方正小标宋简体" w:hAnsi="方正小标宋简体" w:eastAsia="方正小标宋简体" w:cs="方正小标宋简体"/>
          <w:color w:val="000000" w:themeColor="text1"/>
          <w:sz w:val="44"/>
          <w:szCs w:val="44"/>
          <w:highlight w:val="none"/>
          <w:lang w:eastAsia="zh-CN"/>
          <w14:textFill>
            <w14:solidFill>
              <w14:schemeClr w14:val="tx1"/>
            </w14:solidFill>
          </w14:textFill>
        </w:rPr>
        <w:t>就业</w:t>
      </w: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协议书</w:t>
      </w:r>
    </w:p>
    <w:p w14:paraId="3AAEEED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楷体_GB2312" w:hAnsi="楷体_GB2312" w:eastAsia="楷体_GB2312" w:cs="楷体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t>（非在职考生）</w:t>
      </w:r>
    </w:p>
    <w:p w14:paraId="726FE6C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outlineLvl w:val="9"/>
        <w:rPr>
          <w:rFonts w:hint="default" w:ascii="Times New Roman" w:hAnsi="Times New Roman" w:eastAsia="方正仿宋_GBK" w:cs="Times New Roman"/>
          <w:color w:val="000000" w:themeColor="text1"/>
          <w:sz w:val="32"/>
          <w:szCs w:val="32"/>
          <w:highlight w:val="none"/>
          <w14:textFill>
            <w14:solidFill>
              <w14:schemeClr w14:val="tx1"/>
            </w14:solidFill>
          </w14:textFill>
        </w:rPr>
      </w:pPr>
    </w:p>
    <w:p w14:paraId="64D83674">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outlineLvl w:val="9"/>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甲方</w:t>
      </w:r>
      <w:r>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32"/>
          <w:szCs w:val="32"/>
          <w:highlight w:val="none"/>
          <w14:textFill>
            <w14:solidFill>
              <w14:schemeClr w14:val="tx1"/>
            </w14:solidFill>
          </w14:textFill>
        </w:rPr>
        <w:t>招生</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培养</w:t>
      </w:r>
      <w:r>
        <w:rPr>
          <w:rFonts w:hint="eastAsia" w:ascii="楷体_GB2312" w:hAnsi="楷体_GB2312" w:eastAsia="楷体_GB2312" w:cs="楷体_GB2312"/>
          <w:color w:val="000000" w:themeColor="text1"/>
          <w:sz w:val="32"/>
          <w:szCs w:val="32"/>
          <w:highlight w:val="none"/>
          <w14:textFill>
            <w14:solidFill>
              <w14:schemeClr w14:val="tx1"/>
            </w14:solidFill>
          </w14:textFill>
        </w:rPr>
        <w:t>单位</w:t>
      </w:r>
      <w:r>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32"/>
          <w:szCs w:val="32"/>
          <w:highlight w:val="none"/>
          <w14:textFill>
            <w14:solidFill>
              <w14:schemeClr w14:val="tx1"/>
            </w14:solidFill>
          </w14:textFill>
        </w:rPr>
        <w:t>：</w:t>
      </w:r>
    </w:p>
    <w:p w14:paraId="2D4B7B0A">
      <w:pPr>
        <w:keepNext w:val="0"/>
        <w:keepLines w:val="0"/>
        <w:pageBreakBefore w:val="0"/>
        <w:widowControl w:val="0"/>
        <w:kinsoku/>
        <w:wordWrap/>
        <w:overflowPunct/>
        <w:topLinePunct w:val="0"/>
        <w:autoSpaceDE/>
        <w:autoSpaceDN/>
        <w:bidi w:val="0"/>
        <w:adjustRightInd/>
        <w:snapToGrid/>
        <w:spacing w:line="600" w:lineRule="exact"/>
        <w:ind w:left="4160" w:leftChars="0" w:right="0" w:rightChars="0" w:hanging="4160" w:hangingChars="1300"/>
        <w:textAlignment w:val="auto"/>
        <w:outlineLvl w:val="9"/>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default" w:ascii="楷体_GB2312" w:hAnsi="楷体_GB2312" w:eastAsia="楷体_GB2312" w:cs="楷体_GB2312"/>
          <w:color w:val="000000" w:themeColor="text1"/>
          <w:sz w:val="32"/>
          <w:szCs w:val="32"/>
          <w:highlight w:val="none"/>
          <w14:textFill>
            <w14:solidFill>
              <w14:schemeClr w14:val="tx1"/>
            </w14:solidFill>
          </w14:textFill>
        </w:rPr>
        <w:t>乙方</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定向</w:t>
      </w:r>
      <w:r>
        <w:rPr>
          <w:rFonts w:hint="eastAsia" w:ascii="楷体_GB2312" w:hAnsi="楷体_GB2312" w:eastAsia="楷体_GB2312" w:cs="楷体_GB2312"/>
          <w:color w:val="000000" w:themeColor="text1"/>
          <w:sz w:val="32"/>
          <w:szCs w:val="32"/>
          <w:highlight w:val="none"/>
          <w:lang w:val="en-US" w:eastAsia="zh-CN"/>
          <w14:textFill>
            <w14:solidFill>
              <w14:schemeClr w14:val="tx1"/>
            </w14:solidFill>
          </w14:textFill>
        </w:rPr>
        <w:t>就业主管部门</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新疆维吾尔自治区教育厅或新疆生产建设兵团教育局</w:t>
      </w:r>
    </w:p>
    <w:p w14:paraId="592A2683">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textAlignment w:val="auto"/>
        <w:outlineLvl w:val="9"/>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default" w:ascii="楷体_GB2312" w:hAnsi="楷体_GB2312" w:eastAsia="楷体_GB2312" w:cs="楷体_GB2312"/>
          <w:color w:val="000000" w:themeColor="text1"/>
          <w:sz w:val="32"/>
          <w:szCs w:val="32"/>
          <w:highlight w:val="none"/>
          <w14:textFill>
            <w14:solidFill>
              <w14:schemeClr w14:val="tx1"/>
            </w14:solidFill>
          </w14:textFill>
        </w:rPr>
        <w:t>丙方</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定向生本人</w:t>
      </w:r>
      <w:r>
        <w:rPr>
          <w:rFonts w:hint="default" w:ascii="楷体_GB2312" w:hAnsi="楷体_GB2312" w:eastAsia="楷体_GB2312" w:cs="楷体_GB2312"/>
          <w:color w:val="000000" w:themeColor="text1"/>
          <w:sz w:val="32"/>
          <w:szCs w:val="32"/>
          <w:highlight w:val="none"/>
          <w:lang w:eastAsia="zh-CN"/>
          <w14:textFill>
            <w14:solidFill>
              <w14:schemeClr w14:val="tx1"/>
            </w14:solidFill>
          </w14:textFill>
        </w:rPr>
        <w:t>）</w:t>
      </w:r>
      <w:r>
        <w:rPr>
          <w:rFonts w:hint="default" w:ascii="楷体_GB2312" w:hAnsi="楷体_GB2312" w:eastAsia="楷体_GB2312" w:cs="楷体_GB2312"/>
          <w:color w:val="000000" w:themeColor="text1"/>
          <w:sz w:val="32"/>
          <w:szCs w:val="32"/>
          <w:highlight w:val="none"/>
          <w14:textFill>
            <w14:solidFill>
              <w14:schemeClr w14:val="tx1"/>
            </w14:solidFill>
          </w14:textFill>
        </w:rPr>
        <w:t>：</w:t>
      </w:r>
    </w:p>
    <w:p w14:paraId="32E7097C">
      <w:pPr>
        <w:keepNext w:val="0"/>
        <w:keepLines w:val="0"/>
        <w:pageBreakBefore w:val="0"/>
        <w:widowControl w:val="0"/>
        <w:kinsoku/>
        <w:wordWrap/>
        <w:overflowPunct/>
        <w:topLinePunct w:val="0"/>
        <w:autoSpaceDE/>
        <w:autoSpaceDN/>
        <w:bidi w:val="0"/>
        <w:adjustRightInd/>
        <w:snapToGrid/>
        <w:spacing w:line="600" w:lineRule="exact"/>
        <w:ind w:firstLine="960" w:firstLineChars="3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highlight w:val="none"/>
          <w14:textFill>
            <w14:solidFill>
              <w14:schemeClr w14:val="tx1"/>
            </w14:solidFill>
          </w14:textFill>
        </w:rPr>
        <w:t>身份证号：</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 xml:space="preserve">                       </w:t>
      </w:r>
    </w:p>
    <w:p w14:paraId="01FB8C3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14:textFill>
            <w14:solidFill>
              <w14:schemeClr w14:val="tx1"/>
            </w14:solidFill>
          </w14:textFill>
        </w:rPr>
      </w:pPr>
    </w:p>
    <w:p w14:paraId="35BF9CF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default" w:ascii="Times New Roman" w:hAnsi="Times New Roman" w:eastAsia="仿宋_GB2312" w:cs="仿宋_GB2312"/>
          <w:color w:val="000000" w:themeColor="text1"/>
          <w:sz w:val="32"/>
          <w:szCs w:val="32"/>
          <w:highlight w:val="none"/>
          <w:lang w:eastAsia="zh-CN"/>
          <w14:textFill>
            <w14:solidFill>
              <w14:schemeClr w14:val="tx1"/>
            </w14:solidFill>
          </w14:textFill>
        </w:rPr>
        <w:t>少数民族高层次骨干人才</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计划</w:t>
      </w:r>
      <w:r>
        <w:rPr>
          <w:rFonts w:hint="default" w:ascii="Times New Roman" w:hAnsi="Times New Roman" w:eastAsia="仿宋_GB2312" w:cs="仿宋_GB2312"/>
          <w:color w:val="000000" w:themeColor="text1"/>
          <w:sz w:val="32"/>
          <w:szCs w:val="32"/>
          <w:highlight w:val="none"/>
          <w:lang w:eastAsia="zh-CN"/>
          <w14:textFill>
            <w14:solidFill>
              <w14:schemeClr w14:val="tx1"/>
            </w14:solidFill>
          </w14:textFill>
        </w:rPr>
        <w:t>南疆高校教师专项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以下简称南疆高校教师专项）</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，旨在</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为新疆维吾尔自治区南疆地区（包括阿克苏地区、喀什地区、和田地区、巴音郭楞蒙古自治州、克孜勒苏柯尔克孜自治州；兵团第一师、第二师、第三师、第十四师、兵地融合发展草湖项目区）高校</w:t>
      </w:r>
      <w:r>
        <w:rPr>
          <w:rFonts w:hint="eastAsia" w:ascii="Times New Roman" w:hAnsi="Times New Roman" w:eastAsia="仿宋_GB2312" w:cs="仿宋_GB2312"/>
          <w:color w:val="000000" w:themeColor="text1"/>
          <w:sz w:val="32"/>
          <w:szCs w:val="32"/>
          <w:highlight w:val="none"/>
          <w14:textFill>
            <w14:solidFill>
              <w14:schemeClr w14:val="tx1"/>
            </w14:solidFill>
          </w14:textFill>
        </w:rPr>
        <w:t>培养优秀</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师资</w:t>
      </w:r>
      <w:r>
        <w:rPr>
          <w:rFonts w:hint="eastAsia" w:ascii="Times New Roman" w:hAnsi="Times New Roman" w:eastAsia="仿宋_GB2312" w:cs="仿宋_GB2312"/>
          <w:color w:val="000000" w:themeColor="text1"/>
          <w:sz w:val="32"/>
          <w:szCs w:val="32"/>
          <w:highlight w:val="none"/>
          <w14:textFill>
            <w14:solidFill>
              <w14:schemeClr w14:val="tx1"/>
            </w14:solidFill>
          </w14:textFill>
        </w:rPr>
        <w:t>，鼓励优秀人才</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在南疆地区高校</w:t>
      </w:r>
      <w:r>
        <w:rPr>
          <w:rFonts w:hint="eastAsia" w:ascii="Times New Roman" w:hAnsi="Times New Roman" w:eastAsia="仿宋_GB2312" w:cs="仿宋_GB2312"/>
          <w:color w:val="000000" w:themeColor="text1"/>
          <w:sz w:val="32"/>
          <w:szCs w:val="32"/>
          <w:highlight w:val="none"/>
          <w14:textFill>
            <w14:solidFill>
              <w14:schemeClr w14:val="tx1"/>
            </w14:solidFill>
          </w14:textFill>
        </w:rPr>
        <w:t>从教。根据相关法律法规</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及</w:t>
      </w:r>
      <w:r>
        <w:rPr>
          <w:rFonts w:hint="default" w:ascii="Times New Roman" w:hAnsi="Times New Roman" w:eastAsia="仿宋_GB2312" w:cs="仿宋_GB2312"/>
          <w:color w:val="000000" w:themeColor="text1"/>
          <w:sz w:val="32"/>
          <w:szCs w:val="32"/>
          <w:highlight w:val="none"/>
          <w:lang w:eastAsia="zh-CN"/>
          <w14:textFill>
            <w14:solidFill>
              <w14:schemeClr w14:val="tx1"/>
            </w14:solidFill>
          </w14:textFill>
        </w:rPr>
        <w:t>少数民族高层次骨干人才</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研究生招生计划实施政策</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制订本协议，</w:t>
      </w:r>
      <w:r>
        <w:rPr>
          <w:rFonts w:hint="eastAsia" w:ascii="Times New Roman" w:hAnsi="Times New Roman" w:eastAsia="仿宋_GB2312" w:cs="仿宋_GB2312"/>
          <w:color w:val="000000" w:themeColor="text1"/>
          <w:sz w:val="32"/>
          <w:szCs w:val="32"/>
          <w:highlight w:val="none"/>
          <w14:textFill>
            <w14:solidFill>
              <w14:schemeClr w14:val="tx1"/>
            </w14:solidFill>
          </w14:textFill>
        </w:rPr>
        <w:t>甲、乙、丙三方共同遵守</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p>
    <w:p w14:paraId="1575D0F0">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一、协议签订前提</w:t>
      </w:r>
    </w:p>
    <w:p w14:paraId="38429FB9">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pPr>
      <w:r>
        <w:rPr>
          <w:rFonts w:hint="eastAsia" w:ascii="仿宋_GB2312" w:hAnsi="宋体" w:eastAsia="仿宋_GB2312"/>
          <w:color w:val="000000" w:themeColor="text1"/>
          <w:sz w:val="32"/>
          <w:szCs w:val="32"/>
          <w:highlight w:val="none"/>
          <w:lang w:val="en-US" w:eastAsia="zh-CN"/>
          <w14:textFill>
            <w14:solidFill>
              <w14:schemeClr w14:val="tx1"/>
            </w14:solidFill>
          </w14:textFill>
        </w:rPr>
        <w:t>丙</w:t>
      </w:r>
      <w:r>
        <w:rPr>
          <w:rFonts w:hint="eastAsia" w:ascii="仿宋_GB2312" w:hAnsi="宋体" w:eastAsia="仿宋_GB2312"/>
          <w:color w:val="000000" w:themeColor="text1"/>
          <w:sz w:val="32"/>
          <w:szCs w:val="32"/>
          <w:highlight w:val="none"/>
          <w14:textFill>
            <w14:solidFill>
              <w14:schemeClr w14:val="tx1"/>
            </w14:solidFill>
          </w14:textFill>
        </w:rPr>
        <w:t>方具有</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南疆教师专项报考</w:t>
      </w:r>
      <w:r>
        <w:rPr>
          <w:rFonts w:hint="eastAsia" w:ascii="仿宋_GB2312" w:hAnsi="宋体" w:eastAsia="仿宋_GB2312"/>
          <w:color w:val="000000" w:themeColor="text1"/>
          <w:sz w:val="32"/>
          <w:szCs w:val="32"/>
          <w:highlight w:val="none"/>
          <w14:textFill>
            <w14:solidFill>
              <w14:schemeClr w14:val="tx1"/>
            </w14:solidFill>
          </w14:textFill>
        </w:rPr>
        <w:t>资格，</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了解相关政策，</w:t>
      </w:r>
      <w:r>
        <w:rPr>
          <w:rFonts w:hint="eastAsia" w:ascii="仿宋_GB2312" w:hAnsi="宋体" w:eastAsia="仿宋_GB2312"/>
          <w:color w:val="000000" w:themeColor="text1"/>
          <w:sz w:val="32"/>
          <w:szCs w:val="32"/>
          <w:highlight w:val="none"/>
          <w14:textFill>
            <w14:solidFill>
              <w14:schemeClr w14:val="tx1"/>
            </w14:solidFill>
          </w14:textFill>
        </w:rPr>
        <w:t>有志于</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在南疆地区高校</w:t>
      </w:r>
      <w:r>
        <w:rPr>
          <w:rFonts w:hint="eastAsia" w:ascii="仿宋_GB2312" w:hAnsi="宋体" w:eastAsia="仿宋_GB2312"/>
          <w:color w:val="000000" w:themeColor="text1"/>
          <w:sz w:val="32"/>
          <w:szCs w:val="32"/>
          <w:highlight w:val="none"/>
          <w14:textFill>
            <w14:solidFill>
              <w14:schemeClr w14:val="tx1"/>
            </w14:solidFill>
          </w14:textFill>
        </w:rPr>
        <w:t>从教，自愿报考</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南疆教师专项</w:t>
      </w:r>
      <w:r>
        <w:rPr>
          <w:rFonts w:hint="eastAsia" w:ascii="仿宋_GB2312" w:hAnsi="宋体" w:eastAsia="仿宋_GB2312"/>
          <w:color w:val="000000" w:themeColor="text1"/>
          <w:sz w:val="32"/>
          <w:szCs w:val="32"/>
          <w:highlight w:val="none"/>
          <w:lang w:eastAsia="zh-CN"/>
          <w14:textFill>
            <w14:solidFill>
              <w14:schemeClr w14:val="tx1"/>
            </w14:solidFill>
          </w14:textFill>
        </w:rPr>
        <w:t>。</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经生源地教育行政部门</w:t>
      </w:r>
      <w:r>
        <w:rPr>
          <w:rFonts w:hint="eastAsia" w:ascii="仿宋_GB2312" w:hAnsi="宋体" w:eastAsia="仿宋_GB2312"/>
          <w:color w:val="000000" w:themeColor="text1"/>
          <w:sz w:val="32"/>
          <w:szCs w:val="32"/>
          <w:highlight w:val="none"/>
          <w14:textFill>
            <w14:solidFill>
              <w14:schemeClr w14:val="tx1"/>
            </w14:solidFill>
          </w14:textFill>
        </w:rPr>
        <w:t>审核，</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乙方确认丙方符合报考条件。甲方按照研究生招生录取有关规定，录取</w:t>
      </w:r>
      <w:r>
        <w:rPr>
          <w:rFonts w:hint="eastAsia" w:ascii="Times New Roman" w:hAnsi="Times New Roman" w:eastAsia="方正仿宋_GBK" w:cs="Times New Roman"/>
          <w:color w:val="000000" w:themeColor="text1"/>
          <w:sz w:val="32"/>
          <w:szCs w:val="32"/>
          <w:highlight w:val="none"/>
          <w:lang w:eastAsia="zh-CN"/>
          <w14:textFill>
            <w14:solidFill>
              <w14:schemeClr w14:val="tx1"/>
            </w14:solidFill>
          </w14:textFill>
        </w:rPr>
        <w:t>丙方为</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本校</w:t>
      </w:r>
      <w:r>
        <w:rPr>
          <w:rFonts w:hint="eastAsia" w:ascii="Times New Roman" w:hAnsi="Times New Roman" w:eastAsia="方正仿宋_GBK" w:cs="Times New Roman"/>
          <w:color w:val="000000" w:themeColor="text1"/>
          <w:sz w:val="32"/>
          <w:szCs w:val="32"/>
          <w:highlight w:val="none"/>
          <w:u w:val="single"/>
          <w:lang w:val="en-US" w:eastAsia="zh-CN"/>
          <w14:textFill>
            <w14:solidFill>
              <w14:schemeClr w14:val="tx1"/>
            </w14:solidFill>
          </w14:textFill>
        </w:rPr>
        <w:t xml:space="preserve">           </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学院（系、部、所）</w:t>
      </w:r>
      <w:r>
        <w:rPr>
          <w:rFonts w:hint="eastAsia" w:ascii="Times New Roman" w:hAnsi="Times New Roman" w:eastAsia="方正仿宋_GBK" w:cs="Times New Roman"/>
          <w:color w:val="000000" w:themeColor="text1"/>
          <w:sz w:val="32"/>
          <w:szCs w:val="32"/>
          <w:highlight w:val="none"/>
          <w:u w:val="single"/>
          <w:lang w:val="en-US" w:eastAsia="zh-CN"/>
          <w14:textFill>
            <w14:solidFill>
              <w14:schemeClr w14:val="tx1"/>
            </w14:solidFill>
          </w14:textFill>
        </w:rPr>
        <w:t xml:space="preserve">    </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年</w:t>
      </w:r>
    </w:p>
    <w:p w14:paraId="023995F3">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textAlignment w:val="auto"/>
        <w:outlineLvl w:val="9"/>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pPr>
      <w:r>
        <w:rPr>
          <w:rFonts w:hint="eastAsia" w:ascii="Times New Roman" w:hAnsi="Times New Roman" w:eastAsia="方正仿宋_GBK" w:cs="Times New Roman"/>
          <w:color w:val="000000" w:themeColor="text1"/>
          <w:sz w:val="32"/>
          <w:szCs w:val="32"/>
          <w:highlight w:val="none"/>
          <w:u w:val="single"/>
          <w:lang w:val="en-US" w:eastAsia="zh-CN"/>
          <w14:textFill>
            <w14:solidFill>
              <w14:schemeClr w14:val="tx1"/>
            </w14:solidFill>
          </w14:textFill>
        </w:rPr>
        <w:t xml:space="preserve">     </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专业□</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全日制/</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 xml:space="preserve">非全日制 </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硕士/</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w:t>
      </w:r>
      <w:r>
        <w:rPr>
          <w:rFonts w:hint="eastAsia" w:ascii="Times New Roman" w:hAnsi="Times New Roman" w:eastAsia="方正仿宋_GBK" w:cs="Times New Roman"/>
          <w:color w:val="000000" w:themeColor="text1"/>
          <w:sz w:val="32"/>
          <w:szCs w:val="32"/>
          <w:highlight w:val="none"/>
          <w:u w:val="none"/>
          <w:lang w:val="en-US" w:eastAsia="zh-CN"/>
          <w14:textFill>
            <w14:solidFill>
              <w14:schemeClr w14:val="tx1"/>
            </w14:solidFill>
          </w14:textFill>
        </w:rPr>
        <w:t>博士研究生。</w:t>
      </w:r>
    </w:p>
    <w:p w14:paraId="2F2E988A">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default"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二、甲方的权利义务</w:t>
      </w:r>
    </w:p>
    <w:p w14:paraId="05353D7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1. </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按照</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为南疆地区高校</w:t>
      </w:r>
      <w:r>
        <w:rPr>
          <w:rFonts w:hint="eastAsia" w:ascii="Times New Roman" w:hAnsi="Times New Roman" w:eastAsia="仿宋_GB2312" w:cs="仿宋_GB2312"/>
          <w:color w:val="000000" w:themeColor="text1"/>
          <w:sz w:val="32"/>
          <w:szCs w:val="32"/>
          <w:highlight w:val="none"/>
          <w14:textFill>
            <w14:solidFill>
              <w14:schemeClr w14:val="tx1"/>
            </w14:solidFill>
          </w14:textFill>
        </w:rPr>
        <w:t>培养优秀</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师资的</w:t>
      </w:r>
      <w:r>
        <w:rPr>
          <w:rFonts w:hint="eastAsia" w:ascii="Times New Roman" w:hAnsi="Times New Roman" w:eastAsia="仿宋_GB2312" w:cs="仿宋_GB2312"/>
          <w:color w:val="000000" w:themeColor="text1"/>
          <w:sz w:val="32"/>
          <w:szCs w:val="32"/>
          <w:highlight w:val="none"/>
          <w14:textFill>
            <w14:solidFill>
              <w14:schemeClr w14:val="tx1"/>
            </w14:solidFill>
          </w14:textFill>
        </w:rPr>
        <w:t>目标，制订培养方案，提供优良的教育教学条件，</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加强对丙</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方</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的</w:t>
      </w:r>
      <w:r>
        <w:rPr>
          <w:rFonts w:hint="eastAsia" w:ascii="Times New Roman" w:hAnsi="Times New Roman" w:eastAsia="仿宋_GB2312" w:cs="仿宋_GB2312"/>
          <w:color w:val="000000" w:themeColor="text1"/>
          <w:sz w:val="32"/>
          <w:szCs w:val="32"/>
          <w:highlight w:val="none"/>
          <w14:textFill>
            <w14:solidFill>
              <w14:schemeClr w14:val="tx1"/>
            </w14:solidFill>
          </w14:textFill>
        </w:rPr>
        <w:t>教育培养。</w:t>
      </w:r>
    </w:p>
    <w:p w14:paraId="6D9FAC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按研究生学籍管理</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规定</w:t>
      </w:r>
      <w:r>
        <w:rPr>
          <w:rFonts w:hint="eastAsia" w:ascii="Times New Roman" w:hAnsi="Times New Roman" w:eastAsia="方正仿宋_GBK" w:cs="Times New Roman"/>
          <w:color w:val="000000" w:themeColor="text1"/>
          <w:sz w:val="32"/>
          <w:szCs w:val="32"/>
          <w:highlight w:val="none"/>
          <w:lang w:eastAsia="zh-CN"/>
          <w14:textFill>
            <w14:solidFill>
              <w14:schemeClr w14:val="tx1"/>
            </w14:solidFill>
          </w14:textFill>
        </w:rPr>
        <w:t>及时办理</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丙方</w:t>
      </w:r>
      <w:r>
        <w:rPr>
          <w:rFonts w:hint="eastAsia" w:ascii="Times New Roman" w:hAnsi="Times New Roman" w:eastAsia="方正仿宋_GBK" w:cs="Times New Roman"/>
          <w:color w:val="000000" w:themeColor="text1"/>
          <w:sz w:val="32"/>
          <w:szCs w:val="32"/>
          <w:highlight w:val="none"/>
          <w:lang w:eastAsia="zh-CN"/>
          <w14:textFill>
            <w14:solidFill>
              <w14:schemeClr w14:val="tx1"/>
            </w14:solidFill>
          </w14:textFill>
        </w:rPr>
        <w:t>入学手续并注册学籍，</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按</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普通高等学校学生管理规定</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等</w:t>
      </w:r>
      <w:r>
        <w:rPr>
          <w:rFonts w:hint="eastAsia" w:ascii="Times New Roman" w:hAnsi="Times New Roman" w:eastAsia="方正仿宋_GBK" w:cs="Times New Roman"/>
          <w:color w:val="000000" w:themeColor="text1"/>
          <w:sz w:val="32"/>
          <w:szCs w:val="32"/>
          <w:highlight w:val="none"/>
          <w:lang w:val="en-US" w:eastAsia="zh-CN"/>
          <w14:textFill>
            <w14:solidFill>
              <w14:schemeClr w14:val="tx1"/>
            </w14:solidFill>
          </w14:textFill>
        </w:rPr>
        <w:t>要求做好</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丙方学习期间</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的管理工作</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p>
    <w:p w14:paraId="312A622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3. </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甲方</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在</w:t>
      </w:r>
      <w:r>
        <w:rPr>
          <w:rFonts w:hint="eastAsia" w:ascii="Times New Roman" w:hAnsi="Times New Roman" w:eastAsia="仿宋_GB2312" w:cs="仿宋_GB2312"/>
          <w:color w:val="000000" w:themeColor="text1"/>
          <w:sz w:val="32"/>
          <w:szCs w:val="32"/>
          <w:highlight w:val="none"/>
          <w14:textFill>
            <w14:solidFill>
              <w14:schemeClr w14:val="tx1"/>
            </w14:solidFill>
          </w14:textFill>
        </w:rPr>
        <w:t>丙方学习期满、</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符合毕业条件</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后</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，准予</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丙方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毕业。</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丙方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符合相应学位授予条件，</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甲方</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授予相应学位。丙方</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毕业后，</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甲方将丙方毕业证书、学位证书及就读期间档案等</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集中</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寄送乙方</w:t>
      </w:r>
      <w:r>
        <w:rPr>
          <w:rFonts w:hint="eastAsia" w:ascii="Times New Roman" w:hAnsi="Times New Roman" w:eastAsia="仿宋_GB2312" w:cs="仿宋_GB2312"/>
          <w:color w:val="000000" w:themeColor="text1"/>
          <w:sz w:val="32"/>
          <w:szCs w:val="32"/>
          <w:highlight w:val="none"/>
          <w14:textFill>
            <w14:solidFill>
              <w14:schemeClr w14:val="tx1"/>
            </w14:solidFill>
          </w14:textFill>
        </w:rPr>
        <w:t>。</w:t>
      </w:r>
    </w:p>
    <w:p w14:paraId="724676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4. </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甲方负责落实丙方毕业去向至</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南疆就业高校</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按有关规定配合将</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丙方户口及党团组织关系</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等转入南疆就业高校</w:t>
      </w:r>
      <w:r>
        <w:rPr>
          <w:rFonts w:hint="eastAsia" w:ascii="Times New Roman" w:hAnsi="Times New Roman" w:eastAsia="仿宋_GB2312" w:cs="仿宋_GB2312"/>
          <w:color w:val="000000" w:themeColor="text1"/>
          <w:sz w:val="32"/>
          <w:szCs w:val="32"/>
          <w:highlight w:val="none"/>
          <w:lang w:eastAsia="zh-CN"/>
          <w14:textFill>
            <w14:solidFill>
              <w14:schemeClr w14:val="tx1"/>
            </w14:solidFill>
          </w14:textFill>
        </w:rPr>
        <w:t>。</w:t>
      </w:r>
    </w:p>
    <w:p w14:paraId="0BFFD25F">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default"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三、乙方的权利义务</w:t>
      </w:r>
    </w:p>
    <w:p w14:paraId="1F5ECF6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1. 新疆维吾尔自治区教育厅、新疆生产建设兵团教育局统筹南疆地区高校师资队伍建设需求，丙方到阿克苏地区、喀什地区、和田地区、巴音郭楞蒙古自治州、克孜勒苏柯尔克孜自治州等地区高校就业，由新疆维吾尔自治区教育厅履行乙方权利义务；丙方到兵团第一师、第二师、第三师、第十四师、兵地融合发展草湖项目区等地区高校就业，由新疆生产建设兵团教育局履行乙方权利义务。</w:t>
      </w:r>
    </w:p>
    <w:p w14:paraId="47C786F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乙方根据南疆高校建设需要统筹提出培养需求。</w:t>
      </w:r>
    </w:p>
    <w:p w14:paraId="36A1B4B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3. 配合甲方，指导定向就业高校采取不同形式向学习期间的丙方介绍新疆南疆地区社情民情、南疆地区高校发展情况，并对丙方的思想、学习等方面的情况进行考察了解。</w:t>
      </w:r>
    </w:p>
    <w:p w14:paraId="4509FC2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4. 会同人力资源社会保障等部门指导丙方至南疆地区高校就业。在丙方毕业时，乙方指导定向就业高校组织对丙方进行专业知识和技能、工作能力和综合素质等方面进行考核，指导丙方、南疆地区高校根据丙方所学专业、需求岗位进行双向选择。</w:t>
      </w:r>
    </w:p>
    <w:p w14:paraId="72C889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5. 在丙方毕业后，指导丙方与南疆地区高校签订就业协议。</w:t>
      </w:r>
    </w:p>
    <w:p w14:paraId="49ABBABC">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default" w:ascii="黑体" w:hAnsi="黑体" w:eastAsia="黑体" w:cs="黑体"/>
          <w:color w:val="000000" w:themeColor="text1"/>
          <w:sz w:val="32"/>
          <w:szCs w:val="32"/>
          <w:highlight w:val="none"/>
          <w:lang w:val="en-US" w:eastAsia="zh-CN"/>
          <w14:textFill>
            <w14:solidFill>
              <w14:schemeClr w14:val="tx1"/>
            </w14:solidFill>
          </w14:textFill>
        </w:rPr>
      </w:pPr>
      <w:r>
        <w:rPr>
          <w:rFonts w:hint="eastAsia" w:ascii="黑体" w:hAnsi="黑体" w:eastAsia="黑体" w:cs="黑体"/>
          <w:color w:val="000000" w:themeColor="text1"/>
          <w:sz w:val="32"/>
          <w:szCs w:val="32"/>
          <w:highlight w:val="none"/>
          <w:lang w:val="en-US" w:eastAsia="zh-CN"/>
          <w14:textFill>
            <w14:solidFill>
              <w14:schemeClr w14:val="tx1"/>
            </w14:solidFill>
          </w14:textFill>
        </w:rPr>
        <w:t>四、丙方的权利义务</w:t>
      </w:r>
    </w:p>
    <w:p w14:paraId="34EEBBB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1. </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丙</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方在校学习期间与普通类研究生招生计划录取研究生实行统一标准、统一要求、统一管理，修业年限、学业奖励等在校期间教育管理服务事项，与其他普通类研究生招生计划录取研究生一致。丙方在校期间教育管理服务各类事项，包括出国交换学习、学籍变动、学业奖助等，均按甲方有关规定执行。丙方学习期间不得变更专业。</w:t>
      </w:r>
    </w:p>
    <w:p w14:paraId="71D596E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丙方按国家及甲方相关规定缴纳学费、住宿费等费用。丙方学习期间，户口、个人档案及党团关系按甲方有关规定办理。</w:t>
      </w:r>
    </w:p>
    <w:p w14:paraId="6496AC5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3. 丙方在入学前，需在甲方指定的二级甲等（含）以上医院体检，体检须符合教师资格认定体检标准，方可办理入学手续。</w:t>
      </w:r>
    </w:p>
    <w:p w14:paraId="654770D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4. 丙方在校期间，须严格遵守国家法律法规及甲方各项规章制度，按时完成学业，取得相应的学位证书和毕业证书。</w:t>
      </w:r>
    </w:p>
    <w:p w14:paraId="30FA2C6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FF0000"/>
          <w:sz w:val="32"/>
          <w:szCs w:val="32"/>
          <w:highlight w:val="none"/>
          <w:lang w:val="en-US" w:eastAsia="zh-CN"/>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5. 丙方毕业后，参加就业高校考核，双向选择确定就业的南疆高校及岗位。丙方在南疆高校工作服务年限，硕士毕业生不得少于3年（含），博士毕业生不得少于5年（含）。</w:t>
      </w:r>
    </w:p>
    <w:p w14:paraId="5107E4C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6. 丙方入职后，须遵守乙方及就业高校有关规章制度，发挥专业所学，为学校发展和教育质量提升贡献力量。</w:t>
      </w:r>
    </w:p>
    <w:p w14:paraId="3C040D3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黑体" w:hAnsi="黑体" w:eastAsia="黑体"/>
          <w:color w:val="000000" w:themeColor="text1"/>
          <w:sz w:val="32"/>
          <w:szCs w:val="32"/>
          <w:highlight w:val="none"/>
          <w:lang w:val="en-US" w:eastAsia="zh-CN"/>
          <w14:textFill>
            <w14:solidFill>
              <w14:schemeClr w14:val="tx1"/>
            </w14:solidFill>
          </w14:textFill>
        </w:rPr>
      </w:pPr>
      <w:r>
        <w:rPr>
          <w:rFonts w:hint="eastAsia" w:ascii="黑体" w:hAnsi="黑体" w:eastAsia="黑体"/>
          <w:color w:val="000000" w:themeColor="text1"/>
          <w:sz w:val="32"/>
          <w:szCs w:val="32"/>
          <w:highlight w:val="none"/>
          <w14:textFill>
            <w14:solidFill>
              <w14:schemeClr w14:val="tx1"/>
            </w14:solidFill>
          </w14:textFill>
        </w:rPr>
        <w:t>五、延长</w:t>
      </w:r>
      <w:r>
        <w:rPr>
          <w:rFonts w:hint="eastAsia" w:ascii="黑体" w:hAnsi="黑体" w:eastAsia="黑体"/>
          <w:color w:val="000000" w:themeColor="text1"/>
          <w:sz w:val="32"/>
          <w:szCs w:val="32"/>
          <w:highlight w:val="none"/>
          <w:lang w:eastAsia="zh-CN"/>
          <w14:textFill>
            <w14:solidFill>
              <w14:schemeClr w14:val="tx1"/>
            </w14:solidFill>
          </w14:textFill>
        </w:rPr>
        <w:t>、</w:t>
      </w:r>
      <w:r>
        <w:rPr>
          <w:rFonts w:hint="eastAsia" w:ascii="黑体" w:hAnsi="黑体" w:eastAsia="黑体"/>
          <w:color w:val="000000" w:themeColor="text1"/>
          <w:sz w:val="32"/>
          <w:szCs w:val="32"/>
          <w:highlight w:val="none"/>
          <w14:textFill>
            <w14:solidFill>
              <w14:schemeClr w14:val="tx1"/>
            </w14:solidFill>
          </w14:textFill>
        </w:rPr>
        <w:t>终止</w:t>
      </w:r>
      <w:r>
        <w:rPr>
          <w:rFonts w:hint="eastAsia" w:ascii="黑体" w:hAnsi="黑体" w:eastAsia="黑体"/>
          <w:color w:val="000000" w:themeColor="text1"/>
          <w:sz w:val="32"/>
          <w:szCs w:val="32"/>
          <w:highlight w:val="none"/>
          <w:lang w:val="en-US" w:eastAsia="zh-CN"/>
          <w14:textFill>
            <w14:solidFill>
              <w14:schemeClr w14:val="tx1"/>
            </w14:solidFill>
          </w14:textFill>
        </w:rPr>
        <w:t>事项</w:t>
      </w:r>
    </w:p>
    <w:p w14:paraId="191041E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1. 学习期间如有应征入伍等特殊原因确需休学，由丙方提出书面申请，征得甲方同意后，按甲方有关规定执行，并告知乙方。由于休学造成延期毕业、就业延后的，待情况允许须继续履行协议，履约时间相应延长。</w:t>
      </w:r>
    </w:p>
    <w:p w14:paraId="1292F60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确因身体原因不能完成学业，经甲方指定的二级甲等（含）以上医院认定，可终止协议。</w:t>
      </w:r>
    </w:p>
    <w:p w14:paraId="721A137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olor w:val="000000" w:themeColor="text1"/>
          <w:sz w:val="32"/>
          <w:szCs w:val="32"/>
          <w:highlight w:val="none"/>
          <w14:textFill>
            <w14:solidFill>
              <w14:schemeClr w14:val="tx1"/>
            </w14:solidFill>
          </w14:textFill>
        </w:rPr>
      </w:pPr>
      <w:r>
        <w:rPr>
          <w:rFonts w:hint="eastAsia" w:ascii="黑体" w:hAnsi="黑体" w:eastAsia="黑体"/>
          <w:color w:val="000000" w:themeColor="text1"/>
          <w:sz w:val="32"/>
          <w:szCs w:val="32"/>
          <w:highlight w:val="none"/>
          <w14:textFill>
            <w14:solidFill>
              <w14:schemeClr w14:val="tx1"/>
            </w14:solidFill>
          </w14:textFill>
        </w:rPr>
        <w:t>六、违约情形及处理</w:t>
      </w:r>
    </w:p>
    <w:p w14:paraId="1C64567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1. 丙方学习期间被勒令退学、受开除学籍处分，视为丙方违约，由甲方按有关规定处理，并书面告知乙方。丙方无故退学，视为丙方违约。丙方未按规定时间取得毕业证书、相应学历学位证书的，视为丙方违约。</w:t>
      </w:r>
    </w:p>
    <w:p w14:paraId="5F8F381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2. 丙方在报考、学习、就业等环节有弄虚作假或其他违规违纪行为的，依据有关规定处理，视为丙方违约。</w:t>
      </w:r>
    </w:p>
    <w:p w14:paraId="39D6976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3. 丙方毕业后未按协议就业等违约情形，甲方或乙方可以通过新媒体平台向社会公布丙方不守诚信的信息；如学习期间丙方通过甲方、乙方获得政策资助的，须按原金额一次性退还。</w:t>
      </w:r>
    </w:p>
    <w:p w14:paraId="7BA9B55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olor w:val="000000" w:themeColor="text1"/>
          <w:sz w:val="32"/>
          <w:szCs w:val="32"/>
          <w:highlight w:val="none"/>
          <w:lang w:eastAsia="zh-CN"/>
          <w14:textFill>
            <w14:solidFill>
              <w14:schemeClr w14:val="tx1"/>
            </w14:solidFill>
          </w14:textFill>
        </w:rPr>
      </w:pPr>
      <w:r>
        <w:rPr>
          <w:rFonts w:hint="eastAsia" w:ascii="黑体" w:hAnsi="黑体" w:eastAsia="黑体"/>
          <w:color w:val="000000" w:themeColor="text1"/>
          <w:sz w:val="32"/>
          <w:szCs w:val="32"/>
          <w:highlight w:val="none"/>
          <w:lang w:val="en-US" w:eastAsia="zh-CN"/>
          <w14:textFill>
            <w14:solidFill>
              <w14:schemeClr w14:val="tx1"/>
            </w14:solidFill>
          </w14:textFill>
        </w:rPr>
        <w:t>七</w:t>
      </w:r>
      <w:r>
        <w:rPr>
          <w:rFonts w:hint="eastAsia" w:ascii="黑体" w:hAnsi="黑体" w:eastAsia="黑体"/>
          <w:color w:val="000000" w:themeColor="text1"/>
          <w:sz w:val="32"/>
          <w:szCs w:val="32"/>
          <w:highlight w:val="none"/>
          <w14:textFill>
            <w14:solidFill>
              <w14:schemeClr w14:val="tx1"/>
            </w14:solidFill>
          </w14:textFill>
        </w:rPr>
        <w:t>、</w:t>
      </w:r>
      <w:r>
        <w:rPr>
          <w:rFonts w:hint="eastAsia" w:ascii="黑体" w:hAnsi="黑体" w:eastAsia="黑体"/>
          <w:color w:val="000000" w:themeColor="text1"/>
          <w:sz w:val="32"/>
          <w:szCs w:val="32"/>
          <w:highlight w:val="none"/>
          <w:lang w:val="en-US" w:eastAsia="zh-CN"/>
          <w14:textFill>
            <w14:solidFill>
              <w14:schemeClr w14:val="tx1"/>
            </w14:solidFill>
          </w14:textFill>
        </w:rPr>
        <w:t>附则</w:t>
      </w:r>
    </w:p>
    <w:p w14:paraId="6D5E16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1. </w:t>
      </w:r>
      <w:r>
        <w:rPr>
          <w:rFonts w:hint="eastAsia" w:ascii="仿宋_GB2312" w:hAnsi="宋体" w:eastAsia="仿宋_GB2312"/>
          <w:color w:val="000000" w:themeColor="text1"/>
          <w:sz w:val="32"/>
          <w:szCs w:val="32"/>
          <w:highlight w:val="none"/>
          <w14:textFill>
            <w14:solidFill>
              <w14:schemeClr w14:val="tx1"/>
            </w14:solidFill>
          </w14:textFill>
        </w:rPr>
        <w:t>本协议未尽事宜</w:t>
      </w:r>
      <w:r>
        <w:rPr>
          <w:rFonts w:hint="eastAsia" w:ascii="仿宋_GB2312" w:eastAsia="仿宋_GB2312"/>
          <w:color w:val="000000" w:themeColor="text1"/>
          <w:sz w:val="32"/>
          <w:szCs w:val="32"/>
          <w:highlight w:val="none"/>
          <w14:textFill>
            <w14:solidFill>
              <w14:schemeClr w14:val="tx1"/>
            </w14:solidFill>
          </w14:textFill>
        </w:rPr>
        <w:t>,</w:t>
      </w:r>
      <w:r>
        <w:rPr>
          <w:rFonts w:hint="eastAsia" w:ascii="仿宋_GB2312" w:hAnsi="宋体" w:eastAsia="仿宋_GB2312"/>
          <w:color w:val="000000" w:themeColor="text1"/>
          <w:sz w:val="32"/>
          <w:szCs w:val="32"/>
          <w:highlight w:val="none"/>
          <w14:textFill>
            <w14:solidFill>
              <w14:schemeClr w14:val="tx1"/>
            </w14:solidFill>
          </w14:textFill>
        </w:rPr>
        <w:t>凡属</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政策</w:t>
      </w:r>
      <w:r>
        <w:rPr>
          <w:rFonts w:hint="eastAsia" w:ascii="仿宋_GB2312" w:hAnsi="宋体" w:eastAsia="仿宋_GB2312"/>
          <w:color w:val="000000" w:themeColor="text1"/>
          <w:sz w:val="32"/>
          <w:szCs w:val="32"/>
          <w:highlight w:val="none"/>
          <w14:textFill>
            <w14:solidFill>
              <w14:schemeClr w14:val="tx1"/>
            </w14:solidFill>
          </w14:textFill>
        </w:rPr>
        <w:t>有规定的</w:t>
      </w:r>
      <w:r>
        <w:rPr>
          <w:rFonts w:hint="eastAsia" w:ascii="仿宋_GB2312" w:eastAsia="仿宋_GB2312"/>
          <w:color w:val="000000" w:themeColor="text1"/>
          <w:sz w:val="32"/>
          <w:szCs w:val="32"/>
          <w:highlight w:val="none"/>
          <w14:textFill>
            <w14:solidFill>
              <w14:schemeClr w14:val="tx1"/>
            </w14:solidFill>
          </w14:textFill>
        </w:rPr>
        <w:t>,</w:t>
      </w:r>
      <w:r>
        <w:rPr>
          <w:rFonts w:hint="eastAsia" w:ascii="仿宋_GB2312" w:hAnsi="宋体" w:eastAsia="仿宋_GB2312"/>
          <w:color w:val="000000" w:themeColor="text1"/>
          <w:sz w:val="32"/>
          <w:szCs w:val="32"/>
          <w:highlight w:val="none"/>
          <w14:textFill>
            <w14:solidFill>
              <w14:schemeClr w14:val="tx1"/>
            </w14:solidFill>
          </w14:textFill>
        </w:rPr>
        <w:t>按有关规定执行，其他事宜</w:t>
      </w:r>
      <w:r>
        <w:rPr>
          <w:rFonts w:hint="eastAsia" w:ascii="仿宋_GB2312" w:hAnsi="宋体" w:eastAsia="仿宋_GB2312"/>
          <w:color w:val="000000" w:themeColor="text1"/>
          <w:sz w:val="32"/>
          <w:szCs w:val="32"/>
          <w:highlight w:val="none"/>
          <w:lang w:val="en-US" w:eastAsia="zh-CN"/>
          <w14:textFill>
            <w14:solidFill>
              <w14:schemeClr w14:val="tx1"/>
            </w14:solidFill>
          </w14:textFill>
        </w:rPr>
        <w:t>由</w:t>
      </w:r>
      <w:r>
        <w:rPr>
          <w:rFonts w:hint="eastAsia" w:ascii="仿宋_GB2312" w:hAnsi="宋体" w:eastAsia="仿宋_GB2312"/>
          <w:color w:val="000000" w:themeColor="text1"/>
          <w:sz w:val="32"/>
          <w:szCs w:val="32"/>
          <w:highlight w:val="none"/>
          <w14:textFill>
            <w14:solidFill>
              <w14:schemeClr w14:val="tx1"/>
            </w14:solidFill>
          </w14:textFill>
        </w:rPr>
        <w:t>三方协商解决。</w:t>
      </w:r>
    </w:p>
    <w:p w14:paraId="1368724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textAlignment w:val="auto"/>
        <w:outlineLvl w:val="9"/>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 xml:space="preserve">2. </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本协议</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通过中国研究生招生信息网“少数民族高层次骨干人才计划资格申请平台”在线签署</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在线签署及下载协议版本</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具有同等法律效力</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自丙方取得正式学籍（报到）之</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日</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起生效。甲、乙、丙三方各持一份</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（在线签署后可在线下载），</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一份</w:t>
      </w:r>
      <w:r>
        <w:rPr>
          <w:rFonts w:hint="eastAsia" w:ascii="Times New Roman" w:hAnsi="Times New Roman" w:eastAsia="仿宋_GB2312" w:cs="仿宋_GB2312"/>
          <w:color w:val="000000" w:themeColor="text1"/>
          <w:sz w:val="32"/>
          <w:szCs w:val="32"/>
          <w:highlight w:val="none"/>
          <w:lang w:val="en-US" w:eastAsia="zh-CN"/>
          <w14:textFill>
            <w14:solidFill>
              <w14:schemeClr w14:val="tx1"/>
            </w14:solidFill>
          </w14:textFill>
        </w:rPr>
        <w:t>由甲方打印</w:t>
      </w:r>
      <w:r>
        <w:rPr>
          <w:rFonts w:hint="default" w:ascii="Times New Roman" w:hAnsi="Times New Roman" w:eastAsia="仿宋_GB2312" w:cs="仿宋_GB2312"/>
          <w:color w:val="000000" w:themeColor="text1"/>
          <w:sz w:val="32"/>
          <w:szCs w:val="32"/>
          <w:highlight w:val="none"/>
          <w:lang w:val="en-US" w:eastAsia="zh-CN"/>
          <w14:textFill>
            <w14:solidFill>
              <w14:schemeClr w14:val="tx1"/>
            </w14:solidFill>
          </w14:textFill>
        </w:rPr>
        <w:t>存入丙方个人档案。</w:t>
      </w:r>
    </w:p>
    <w:p w14:paraId="1A158CEF">
      <w:pPr>
        <w:keepNext w:val="0"/>
        <w:keepLines w:val="0"/>
        <w:pageBreakBefore w:val="0"/>
        <w:widowControl w:val="0"/>
        <w:kinsoku/>
        <w:wordWrap/>
        <w:overflowPunct/>
        <w:topLinePunct w:val="0"/>
        <w:autoSpaceDE/>
        <w:autoSpaceDN/>
        <w:bidi w:val="0"/>
        <w:adjustRightInd/>
        <w:snapToGrid/>
        <w:spacing w:line="400" w:lineRule="exact"/>
        <w:ind w:right="0" w:rightChars="0"/>
        <w:textAlignment w:val="auto"/>
        <w:outlineLvl w:val="9"/>
        <w:rPr>
          <w:rFonts w:hint="eastAsia" w:ascii="楷体_GB2312" w:hAnsi="楷体_GB2312" w:eastAsia="楷体_GB2312" w:cs="楷体_GB2312"/>
          <w:color w:val="000000" w:themeColor="text1"/>
          <w:sz w:val="32"/>
          <w:szCs w:val="32"/>
          <w:highlight w:val="none"/>
          <w:lang w:eastAsia="zh-CN"/>
          <w14:textFill>
            <w14:solidFill>
              <w14:schemeClr w14:val="tx1"/>
            </w14:solidFill>
          </w14:textFill>
        </w:rPr>
      </w:pPr>
    </w:p>
    <w:tbl>
      <w:tblPr>
        <w:tblStyle w:val="6"/>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29"/>
        <w:gridCol w:w="4593"/>
      </w:tblGrid>
      <w:tr w14:paraId="681EE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31" w:hRule="atLeast"/>
        </w:trPr>
        <w:tc>
          <w:tcPr>
            <w:tcW w:w="3929" w:type="dxa"/>
            <w:tcBorders>
              <w:tl2br w:val="nil"/>
              <w:tr2bl w:val="nil"/>
            </w:tcBorders>
            <w:vAlign w:val="top"/>
          </w:tcPr>
          <w:p w14:paraId="7B265C47">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甲</w:t>
            </w:r>
            <w:r>
              <w:rPr>
                <w:rFonts w:hint="eastAsia" w:ascii="楷体_GB2312" w:hAnsi="楷体_GB2312" w:eastAsia="楷体_GB2312" w:cs="楷体_GB2312"/>
                <w:color w:val="000000" w:themeColor="text1"/>
                <w:sz w:val="28"/>
                <w:szCs w:val="28"/>
                <w:highlight w:val="none"/>
                <w14:textFill>
                  <w14:solidFill>
                    <w14:schemeClr w14:val="tx1"/>
                  </w14:solidFill>
                </w14:textFill>
              </w:rPr>
              <w:t>方单位</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盖章</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68487DAC">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法定代表人签字</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6B000712">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年</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月</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日</w:t>
            </w:r>
          </w:p>
          <w:p w14:paraId="6499606C">
            <w:pPr>
              <w:keepNext w:val="0"/>
              <w:keepLines w:val="0"/>
              <w:pageBreakBefore w:val="0"/>
              <w:widowControl w:val="0"/>
              <w:kinsoku/>
              <w:wordWrap/>
              <w:overflowPunct/>
              <w:topLinePunct w:val="0"/>
              <w:autoSpaceDE/>
              <w:autoSpaceDN/>
              <w:bidi w:val="0"/>
              <w:adjustRightInd/>
              <w:snapToGrid/>
              <w:spacing w:line="400" w:lineRule="exact"/>
              <w:ind w:right="0" w:rightChars="0"/>
              <w:textAlignment w:val="auto"/>
              <w:outlineLvl w:val="9"/>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pPr>
          </w:p>
        </w:tc>
        <w:tc>
          <w:tcPr>
            <w:tcW w:w="4593" w:type="dxa"/>
            <w:tcBorders>
              <w:tl2br w:val="nil"/>
              <w:tr2bl w:val="nil"/>
            </w:tcBorders>
            <w:vAlign w:val="top"/>
          </w:tcPr>
          <w:p w14:paraId="7A67C6C4">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乙</w:t>
            </w:r>
            <w:r>
              <w:rPr>
                <w:rFonts w:hint="eastAsia" w:ascii="楷体_GB2312" w:hAnsi="楷体_GB2312" w:eastAsia="楷体_GB2312" w:cs="楷体_GB2312"/>
                <w:color w:val="000000" w:themeColor="text1"/>
                <w:sz w:val="28"/>
                <w:szCs w:val="28"/>
                <w:highlight w:val="none"/>
                <w14:textFill>
                  <w14:solidFill>
                    <w14:schemeClr w14:val="tx1"/>
                  </w14:solidFill>
                </w14:textFill>
              </w:rPr>
              <w:t>方单位</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盖章</w:t>
            </w: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70915F5D">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t>法定代表人签字</w:t>
            </w:r>
            <w:r>
              <w:rPr>
                <w:rFonts w:hint="eastAsia" w:ascii="楷体_GB2312" w:hAnsi="楷体_GB2312" w:eastAsia="楷体_GB2312" w:cs="楷体_GB2312"/>
                <w:color w:val="000000" w:themeColor="text1"/>
                <w:sz w:val="28"/>
                <w:szCs w:val="28"/>
                <w:highlight w:val="none"/>
                <w14:textFill>
                  <w14:solidFill>
                    <w14:schemeClr w14:val="tx1"/>
                  </w14:solidFill>
                </w14:textFill>
              </w:rPr>
              <w:t>：</w:t>
            </w:r>
          </w:p>
          <w:p w14:paraId="6FD2ED7D">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年</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月</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日</w:t>
            </w:r>
          </w:p>
          <w:p w14:paraId="2D9F10C8">
            <w:pPr>
              <w:keepNext w:val="0"/>
              <w:keepLines w:val="0"/>
              <w:pageBreakBefore w:val="0"/>
              <w:widowControl w:val="0"/>
              <w:kinsoku/>
              <w:wordWrap/>
              <w:overflowPunct/>
              <w:topLinePunct w:val="0"/>
              <w:autoSpaceDE/>
              <w:autoSpaceDN/>
              <w:bidi w:val="0"/>
              <w:adjustRightInd/>
              <w:snapToGrid/>
              <w:spacing w:line="400" w:lineRule="exact"/>
              <w:ind w:right="0" w:rightChars="0"/>
              <w:textAlignment w:val="auto"/>
              <w:outlineLvl w:val="9"/>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pPr>
          </w:p>
        </w:tc>
      </w:tr>
      <w:tr w14:paraId="0191B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22" w:type="dxa"/>
            <w:gridSpan w:val="2"/>
            <w:tcBorders>
              <w:tl2br w:val="nil"/>
              <w:tr2bl w:val="nil"/>
            </w:tcBorders>
            <w:vAlign w:val="top"/>
          </w:tcPr>
          <w:p w14:paraId="44226FDE">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丙方签字：</w:t>
            </w:r>
          </w:p>
          <w:p w14:paraId="047AEC32">
            <w:pPr>
              <w:keepNext w:val="0"/>
              <w:keepLines w:val="0"/>
              <w:pageBreakBefore w:val="0"/>
              <w:widowControl w:val="0"/>
              <w:kinsoku/>
              <w:wordWrap/>
              <w:overflowPunct/>
              <w:topLinePunct w:val="0"/>
              <w:autoSpaceDE/>
              <w:autoSpaceDN/>
              <w:bidi w:val="0"/>
              <w:adjustRightInd/>
              <w:snapToGrid/>
              <w:spacing w:line="540" w:lineRule="exact"/>
              <w:ind w:firstLine="840" w:firstLineChars="300"/>
              <w:textAlignment w:val="auto"/>
              <w:rPr>
                <w:rFonts w:hint="eastAsia" w:ascii="仿宋_GB2312" w:hAnsi="仿宋_GB2312" w:eastAsia="仿宋_GB2312" w:cs="仿宋_GB2312"/>
                <w:color w:val="000000" w:themeColor="text1"/>
                <w:sz w:val="28"/>
                <w:szCs w:val="28"/>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联系地</w:t>
            </w:r>
            <w:r>
              <w:rPr>
                <w:rFonts w:hint="eastAsia" w:ascii="楷体_GB2312" w:hAnsi="楷体_GB2312" w:eastAsia="楷体_GB2312" w:cs="楷体_GB2312"/>
                <w:color w:val="000000" w:themeColor="text1"/>
                <w:sz w:val="28"/>
                <w:szCs w:val="28"/>
                <w:highlight w:val="none"/>
                <w14:textFill>
                  <w14:solidFill>
                    <w14:schemeClr w14:val="tx1"/>
                  </w14:solidFill>
                </w14:textFill>
              </w:rPr>
              <w:t>址：</w:t>
            </w:r>
            <w:r>
              <w:rPr>
                <w:rFonts w:hint="eastAsia" w:ascii="仿宋_GB2312" w:hAnsi="仿宋_GB2312" w:eastAsia="仿宋_GB2312" w:cs="仿宋_GB2312"/>
                <w:color w:val="000000" w:themeColor="text1"/>
                <w:sz w:val="28"/>
                <w:szCs w:val="28"/>
                <w:highlight w:val="none"/>
                <w:lang w:val="en-US" w:eastAsia="zh-CN"/>
                <w14:textFill>
                  <w14:solidFill>
                    <w14:schemeClr w14:val="tx1"/>
                  </w14:solidFill>
                </w14:textFill>
              </w:rPr>
              <w:t xml:space="preserve">                       </w:t>
            </w:r>
          </w:p>
          <w:p w14:paraId="1B4C0928">
            <w:pPr>
              <w:keepNext w:val="0"/>
              <w:keepLines w:val="0"/>
              <w:pageBreakBefore w:val="0"/>
              <w:widowControl w:val="0"/>
              <w:kinsoku/>
              <w:wordWrap/>
              <w:overflowPunct/>
              <w:topLinePunct w:val="0"/>
              <w:autoSpaceDE/>
              <w:autoSpaceDN/>
              <w:bidi w:val="0"/>
              <w:adjustRightInd/>
              <w:snapToGrid/>
              <w:spacing w:line="540" w:lineRule="exact"/>
              <w:ind w:firstLine="840" w:firstLineChars="300"/>
              <w:textAlignment w:val="auto"/>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联系电话：</w:t>
            </w:r>
            <w:r>
              <w:rPr>
                <w:rFonts w:hint="eastAsia" w:ascii="仿宋_GB2312" w:hAnsi="仿宋_GB2312" w:eastAsia="仿宋_GB2312" w:cs="仿宋_GB2312"/>
                <w:color w:val="000000" w:themeColor="text1"/>
                <w:sz w:val="28"/>
                <w:szCs w:val="28"/>
                <w:highlight w:val="none"/>
                <w:lang w:val="en-US" w:eastAsia="zh-CN"/>
                <w14:textFill>
                  <w14:solidFill>
                    <w14:schemeClr w14:val="tx1"/>
                  </w14:solidFill>
                </w14:textFill>
              </w:rPr>
              <w:t xml:space="preserve">                       </w:t>
            </w:r>
          </w:p>
          <w:p w14:paraId="7469E6B9">
            <w:pPr>
              <w:keepNext w:val="0"/>
              <w:keepLines w:val="0"/>
              <w:pageBreakBefore w:val="0"/>
              <w:widowControl w:val="0"/>
              <w:kinsoku/>
              <w:wordWrap/>
              <w:overflowPunct/>
              <w:topLinePunct w:val="0"/>
              <w:autoSpaceDE/>
              <w:autoSpaceDN/>
              <w:bidi w:val="0"/>
              <w:adjustRightInd/>
              <w:snapToGrid/>
              <w:spacing w:line="540" w:lineRule="exact"/>
              <w:ind w:right="0" w:rightChars="0"/>
              <w:textAlignment w:val="auto"/>
              <w:outlineLvl w:val="9"/>
              <w:rPr>
                <w:rFonts w:hint="eastAsia" w:ascii="楷体_GB2312" w:hAnsi="楷体_GB2312" w:eastAsia="楷体_GB2312" w:cs="楷体_GB2312"/>
                <w:color w:val="000000" w:themeColor="text1"/>
                <w:sz w:val="28"/>
                <w:szCs w:val="28"/>
                <w:highlight w:val="none"/>
                <w:lang w:eastAsia="zh-CN"/>
                <w14:textFill>
                  <w14:solidFill>
                    <w14:schemeClr w14:val="tx1"/>
                  </w14:solidFill>
                </w14:textFill>
              </w:rPr>
            </w:pP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年</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月</w:t>
            </w:r>
            <w:r>
              <w:rPr>
                <w:rFonts w:hint="eastAsia" w:ascii="楷体_GB2312" w:hAnsi="楷体_GB2312" w:eastAsia="楷体_GB2312" w:cs="楷体_GB2312"/>
                <w:color w:val="000000" w:themeColor="text1"/>
                <w:sz w:val="28"/>
                <w:szCs w:val="28"/>
                <w:highlight w:val="none"/>
                <w:lang w:val="en-US" w:eastAsia="zh-CN"/>
                <w14:textFill>
                  <w14:solidFill>
                    <w14:schemeClr w14:val="tx1"/>
                  </w14:solidFill>
                </w14:textFill>
              </w:rPr>
              <w:t xml:space="preserve">  </w:t>
            </w:r>
            <w:r>
              <w:rPr>
                <w:rFonts w:hint="eastAsia" w:ascii="楷体_GB2312" w:hAnsi="楷体_GB2312" w:eastAsia="楷体_GB2312" w:cs="楷体_GB2312"/>
                <w:color w:val="000000" w:themeColor="text1"/>
                <w:sz w:val="28"/>
                <w:szCs w:val="28"/>
                <w:highlight w:val="none"/>
                <w14:textFill>
                  <w14:solidFill>
                    <w14:schemeClr w14:val="tx1"/>
                  </w14:solidFill>
                </w14:textFill>
              </w:rPr>
              <w:t>日</w:t>
            </w:r>
          </w:p>
        </w:tc>
      </w:tr>
    </w:tbl>
    <w:p w14:paraId="4AB23BF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left"/>
        <w:textAlignment w:val="auto"/>
        <w:outlineLvl w:val="9"/>
        <w:rPr>
          <w:rFonts w:hint="default" w:ascii="Times New Roman" w:hAnsi="Times New Roman" w:eastAsia="方正仿宋_GBK" w:cs="Times New Roman"/>
          <w:color w:val="000000" w:themeColor="text1"/>
          <w:sz w:val="32"/>
          <w:szCs w:val="32"/>
          <w:highlight w:val="none"/>
          <w:lang w:val="en-US" w:eastAsia="zh-CN"/>
          <w14:textFill>
            <w14:solidFill>
              <w14:schemeClr w14:val="tx1"/>
            </w14:solidFill>
          </w14:textFill>
        </w:rPr>
      </w:pPr>
    </w:p>
    <w:sectPr>
      <w:footerReference r:id="rId3" w:type="default"/>
      <w:pgSz w:w="11906" w:h="16838"/>
      <w:pgMar w:top="2098" w:right="1417" w:bottom="1984" w:left="1417" w:header="851" w:footer="1531"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00000000000000000"/>
    <w:charset w:val="86"/>
    <w:family w:val="auto"/>
    <w:pitch w:val="default"/>
    <w:sig w:usb0="00000000" w:usb1="00000000"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9FB7A">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A8EB6B">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default" w:ascii="Times New Roman" w:hAnsi="Times New Roman" w:cs="Times New Roman" w:eastAsiaTheme="minorEastAsia"/>
                              <w:sz w:val="28"/>
                              <w:szCs w:val="28"/>
                              <w:lang w:eastAsia="zh-CN"/>
                            </w:rPr>
                            <w:fldChar w:fldCharType="begin"/>
                          </w:r>
                          <w:r>
                            <w:rPr>
                              <w:rFonts w:hint="default" w:ascii="Times New Roman" w:hAnsi="Times New Roman" w:cs="Times New Roman" w:eastAsiaTheme="minorEastAsia"/>
                              <w:sz w:val="28"/>
                              <w:szCs w:val="28"/>
                              <w:lang w:eastAsia="zh-CN"/>
                            </w:rPr>
                            <w:instrText xml:space="preserve"> PAGE  \* MERGEFORMAT </w:instrText>
                          </w:r>
                          <w:r>
                            <w:rPr>
                              <w:rFonts w:hint="default" w:ascii="Times New Roman" w:hAnsi="Times New Roman" w:cs="Times New Roman" w:eastAsiaTheme="minorEastAsia"/>
                              <w:sz w:val="28"/>
                              <w:szCs w:val="28"/>
                              <w:lang w:eastAsia="zh-CN"/>
                            </w:rPr>
                            <w:fldChar w:fldCharType="separate"/>
                          </w:r>
                          <w:r>
                            <w:rPr>
                              <w:rFonts w:hint="default" w:ascii="Times New Roman" w:hAnsi="Times New Roman" w:cs="Times New Roman" w:eastAsiaTheme="minorEastAsia"/>
                              <w:sz w:val="28"/>
                              <w:szCs w:val="28"/>
                              <w:lang w:eastAsia="zh-CN"/>
                            </w:rPr>
                            <w:t>- 1 -</w:t>
                          </w:r>
                          <w:r>
                            <w:rPr>
                              <w:rFonts w:hint="default" w:ascii="Times New Roman" w:hAnsi="Times New Roman" w:cs="Times New Roman" w:eastAsiaTheme="minorEastAsia"/>
                              <w:sz w:val="28"/>
                              <w:szCs w:val="28"/>
                              <w:lang w:eastAsia="zh-CN"/>
                            </w:rPr>
                            <w:fldChar w:fldCharType="end"/>
                          </w:r>
                          <w:r>
                            <w:rPr>
                              <w:rFonts w:hint="eastAsia" w:asciiTheme="minorEastAsia" w:hAnsiTheme="minorEastAsia" w:eastAsiaTheme="minorEastAsia" w:cstheme="minorEastAsia"/>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4A8EB6B">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default" w:ascii="Times New Roman" w:hAnsi="Times New Roman" w:cs="Times New Roman" w:eastAsiaTheme="minorEastAsia"/>
                        <w:sz w:val="28"/>
                        <w:szCs w:val="28"/>
                        <w:lang w:eastAsia="zh-CN"/>
                      </w:rPr>
                      <w:fldChar w:fldCharType="begin"/>
                    </w:r>
                    <w:r>
                      <w:rPr>
                        <w:rFonts w:hint="default" w:ascii="Times New Roman" w:hAnsi="Times New Roman" w:cs="Times New Roman" w:eastAsiaTheme="minorEastAsia"/>
                        <w:sz w:val="28"/>
                        <w:szCs w:val="28"/>
                        <w:lang w:eastAsia="zh-CN"/>
                      </w:rPr>
                      <w:instrText xml:space="preserve"> PAGE  \* MERGEFORMAT </w:instrText>
                    </w:r>
                    <w:r>
                      <w:rPr>
                        <w:rFonts w:hint="default" w:ascii="Times New Roman" w:hAnsi="Times New Roman" w:cs="Times New Roman" w:eastAsiaTheme="minorEastAsia"/>
                        <w:sz w:val="28"/>
                        <w:szCs w:val="28"/>
                        <w:lang w:eastAsia="zh-CN"/>
                      </w:rPr>
                      <w:fldChar w:fldCharType="separate"/>
                    </w:r>
                    <w:r>
                      <w:rPr>
                        <w:rFonts w:hint="default" w:ascii="Times New Roman" w:hAnsi="Times New Roman" w:cs="Times New Roman" w:eastAsiaTheme="minorEastAsia"/>
                        <w:sz w:val="28"/>
                        <w:szCs w:val="28"/>
                        <w:lang w:eastAsia="zh-CN"/>
                      </w:rPr>
                      <w:t>- 1 -</w:t>
                    </w:r>
                    <w:r>
                      <w:rPr>
                        <w:rFonts w:hint="default" w:ascii="Times New Roman" w:hAnsi="Times New Roman" w:cs="Times New Roman" w:eastAsiaTheme="minorEastAsia"/>
                        <w:sz w:val="28"/>
                        <w:szCs w:val="28"/>
                        <w:lang w:eastAsia="zh-CN"/>
                      </w:rPr>
                      <w:fldChar w:fldCharType="end"/>
                    </w:r>
                    <w:r>
                      <w:rPr>
                        <w:rFonts w:hint="eastAsia" w:asciiTheme="minorEastAsia" w:hAnsiTheme="minorEastAsia" w:eastAsiaTheme="minorEastAsia" w:cstheme="minorEastAsia"/>
                        <w:sz w:val="28"/>
                        <w:szCs w:val="28"/>
                        <w:lang w:val="en-US" w:eastAsia="zh-CN"/>
                      </w:rPr>
                      <w:t xml:space="preserve"> —</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E72FFE">
                          <w:pPr>
                            <w:snapToGrid w:val="0"/>
                            <w:rPr>
                              <w:rFonts w:hint="eastAsia" w:eastAsiaTheme="minorEastAsia"/>
                              <w:sz w:val="18"/>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AE72FFE">
                    <w:pPr>
                      <w:snapToGrid w:val="0"/>
                      <w:rPr>
                        <w:rFonts w:hint="eastAsia" w:eastAsiaTheme="minorEastAsia"/>
                        <w:sz w:val="18"/>
                        <w:lang w:eastAsia="zh-CN"/>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F76DE"/>
    <w:rsid w:val="01BA7BDE"/>
    <w:rsid w:val="03E35437"/>
    <w:rsid w:val="062320B1"/>
    <w:rsid w:val="07E27C92"/>
    <w:rsid w:val="07EA1314"/>
    <w:rsid w:val="089B1C79"/>
    <w:rsid w:val="08A00010"/>
    <w:rsid w:val="0F59599D"/>
    <w:rsid w:val="1007646F"/>
    <w:rsid w:val="10BD322F"/>
    <w:rsid w:val="11C60997"/>
    <w:rsid w:val="12FB7503"/>
    <w:rsid w:val="13EA7AD5"/>
    <w:rsid w:val="14F17FE8"/>
    <w:rsid w:val="157F6C0F"/>
    <w:rsid w:val="169E1BAD"/>
    <w:rsid w:val="1BB93F6E"/>
    <w:rsid w:val="1BFA625F"/>
    <w:rsid w:val="1D317583"/>
    <w:rsid w:val="1EC13D77"/>
    <w:rsid w:val="1FFA4301"/>
    <w:rsid w:val="209A0509"/>
    <w:rsid w:val="20F40D3E"/>
    <w:rsid w:val="21081F93"/>
    <w:rsid w:val="27534F9C"/>
    <w:rsid w:val="28565731"/>
    <w:rsid w:val="293161C0"/>
    <w:rsid w:val="2A524755"/>
    <w:rsid w:val="2AFC5402"/>
    <w:rsid w:val="2BB641F4"/>
    <w:rsid w:val="2F3455DA"/>
    <w:rsid w:val="2F486852"/>
    <w:rsid w:val="3077048F"/>
    <w:rsid w:val="31167D77"/>
    <w:rsid w:val="315124B9"/>
    <w:rsid w:val="32A06471"/>
    <w:rsid w:val="34113F53"/>
    <w:rsid w:val="370514C2"/>
    <w:rsid w:val="37A57871"/>
    <w:rsid w:val="386F31AC"/>
    <w:rsid w:val="39D33908"/>
    <w:rsid w:val="39D543DA"/>
    <w:rsid w:val="39E75C04"/>
    <w:rsid w:val="3A483257"/>
    <w:rsid w:val="3AFF2EA2"/>
    <w:rsid w:val="3D682CE6"/>
    <w:rsid w:val="3E830147"/>
    <w:rsid w:val="3FE527CA"/>
    <w:rsid w:val="400E78B3"/>
    <w:rsid w:val="40364C89"/>
    <w:rsid w:val="40572CAB"/>
    <w:rsid w:val="405C5872"/>
    <w:rsid w:val="406A25D7"/>
    <w:rsid w:val="40A6245E"/>
    <w:rsid w:val="41613DC5"/>
    <w:rsid w:val="445348B2"/>
    <w:rsid w:val="46701F37"/>
    <w:rsid w:val="481A70B5"/>
    <w:rsid w:val="490F4BC6"/>
    <w:rsid w:val="4BA83AEA"/>
    <w:rsid w:val="4C102DD5"/>
    <w:rsid w:val="4D786316"/>
    <w:rsid w:val="4FEA7C45"/>
    <w:rsid w:val="50494ED2"/>
    <w:rsid w:val="51E0097D"/>
    <w:rsid w:val="53C7003F"/>
    <w:rsid w:val="545D2675"/>
    <w:rsid w:val="55094DA0"/>
    <w:rsid w:val="557229CB"/>
    <w:rsid w:val="579F165D"/>
    <w:rsid w:val="5A5A7148"/>
    <w:rsid w:val="5A6C28E5"/>
    <w:rsid w:val="5EB368C6"/>
    <w:rsid w:val="5F544A55"/>
    <w:rsid w:val="5FC63466"/>
    <w:rsid w:val="61916677"/>
    <w:rsid w:val="636611A7"/>
    <w:rsid w:val="63C82546"/>
    <w:rsid w:val="652D583B"/>
    <w:rsid w:val="658442AB"/>
    <w:rsid w:val="664F907A"/>
    <w:rsid w:val="66AF2FBC"/>
    <w:rsid w:val="672178A4"/>
    <w:rsid w:val="67B06F06"/>
    <w:rsid w:val="68355DEF"/>
    <w:rsid w:val="6847349E"/>
    <w:rsid w:val="692118DF"/>
    <w:rsid w:val="6A0C0251"/>
    <w:rsid w:val="6AB87AE1"/>
    <w:rsid w:val="6B4E658E"/>
    <w:rsid w:val="6C8E5823"/>
    <w:rsid w:val="715E74B8"/>
    <w:rsid w:val="730155FF"/>
    <w:rsid w:val="735F7D2C"/>
    <w:rsid w:val="74761508"/>
    <w:rsid w:val="75760578"/>
    <w:rsid w:val="77C75BCC"/>
    <w:rsid w:val="7A9B3DA0"/>
    <w:rsid w:val="7ADB42F4"/>
    <w:rsid w:val="7B28536E"/>
    <w:rsid w:val="7F3B2E8C"/>
    <w:rsid w:val="CBCFC7BF"/>
    <w:rsid w:val="F3DC5F5D"/>
    <w:rsid w:val="F9F4D5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3904</Words>
  <Characters>3944</Characters>
  <Lines>0</Lines>
  <Paragraphs>0</Paragraphs>
  <TotalTime>8</TotalTime>
  <ScaleCrop>false</ScaleCrop>
  <LinksUpToDate>false</LinksUpToDate>
  <CharactersWithSpaces>4277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2014-10-30T12:08:00Z</dcterms:created>
  <dc:creator>jytww061</dc:creator>
  <cp:lastModifiedBy>ikik</cp:lastModifiedBy>
  <cp:lastPrinted>2025-09-20T07:49:00Z</cp:lastPrinted>
  <dcterms:modified xsi:type="dcterms:W3CDTF">2025-10-23T08:16:54Z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eyJoZGlkIjoiZjFmZWIzNDg2MmIzZjExOTIzMmViNTBmYTMwYTk0ZWYiLCJ1c2VySWQiOiIzODI3NjQxNzcifQ==</vt:lpwstr>
  </property>
  <property fmtid="{D5CDD505-2E9C-101B-9397-08002B2CF9AE}" pid="4" name="ICV">
    <vt:lpwstr>64D84050943D425B8B7B3166FEE46E90_13</vt:lpwstr>
  </property>
</Properties>
</file>