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BEC20B">
      <w:pPr>
        <w:pStyle w:val="2"/>
        <w:ind w:left="0" w:leftChars="0" w:firstLine="0" w:firstLineChars="0"/>
        <w:jc w:val="both"/>
        <w:rPr>
          <w:rFonts w:hint="default" w:ascii="Times New Roman" w:hAnsi="Times New Roman" w:eastAsia="黑体" w:cs="Times New Roman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lang w:val="en-US" w:eastAsia="zh-CN"/>
        </w:rPr>
        <w:t>附件</w:t>
      </w:r>
    </w:p>
    <w:p w14:paraId="4497F2F0">
      <w:pPr>
        <w:pStyle w:val="2"/>
        <w:ind w:left="0" w:leftChars="0" w:firstLine="0" w:firstLineChars="0"/>
        <w:jc w:val="center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新能源</w:t>
      </w:r>
      <w:r>
        <w:rPr>
          <w:rFonts w:hint="eastAsia" w:eastAsia="黑体" w:cs="Times New Roman"/>
          <w:b w:val="0"/>
          <w:bCs w:val="0"/>
          <w:sz w:val="32"/>
          <w:szCs w:val="32"/>
          <w:lang w:val="en-US" w:eastAsia="zh-CN"/>
        </w:rPr>
        <w:t>发电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项目竞争排序</w:t>
      </w:r>
      <w:r>
        <w:rPr>
          <w:rFonts w:hint="eastAsia" w:eastAsia="黑体" w:cs="Times New Roman"/>
          <w:b w:val="0"/>
          <w:bCs w:val="0"/>
          <w:sz w:val="32"/>
          <w:szCs w:val="32"/>
          <w:lang w:val="en-US" w:eastAsia="zh-CN"/>
        </w:rPr>
        <w:t>规则（2025年）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1199"/>
        <w:gridCol w:w="2991"/>
        <w:gridCol w:w="995"/>
        <w:gridCol w:w="3035"/>
      </w:tblGrid>
      <w:tr w14:paraId="7A594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835" w:type="dxa"/>
            <w:noWrap w:val="0"/>
            <w:vAlign w:val="center"/>
          </w:tcPr>
          <w:p w14:paraId="5A691975"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199" w:type="dxa"/>
            <w:noWrap w:val="0"/>
            <w:vAlign w:val="center"/>
          </w:tcPr>
          <w:p w14:paraId="44CC9EB8"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评分项</w:t>
            </w:r>
          </w:p>
        </w:tc>
        <w:tc>
          <w:tcPr>
            <w:tcW w:w="2991" w:type="dxa"/>
            <w:noWrap w:val="0"/>
            <w:vAlign w:val="center"/>
          </w:tcPr>
          <w:p w14:paraId="719379A8"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指标</w:t>
            </w:r>
          </w:p>
        </w:tc>
        <w:tc>
          <w:tcPr>
            <w:tcW w:w="995" w:type="dxa"/>
            <w:noWrap w:val="0"/>
            <w:vAlign w:val="center"/>
          </w:tcPr>
          <w:p w14:paraId="549D2F6D"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权重</w:t>
            </w:r>
          </w:p>
        </w:tc>
        <w:tc>
          <w:tcPr>
            <w:tcW w:w="3035" w:type="dxa"/>
            <w:noWrap w:val="0"/>
            <w:vAlign w:val="center"/>
          </w:tcPr>
          <w:p w14:paraId="7562B016"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评分标准</w:t>
            </w:r>
          </w:p>
        </w:tc>
      </w:tr>
      <w:tr w14:paraId="611E6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835" w:type="dxa"/>
            <w:noWrap w:val="0"/>
            <w:vAlign w:val="center"/>
          </w:tcPr>
          <w:p w14:paraId="7A53D8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199" w:type="dxa"/>
            <w:noWrap w:val="0"/>
            <w:vAlign w:val="center"/>
          </w:tcPr>
          <w:p w14:paraId="62C507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所在县市</w:t>
            </w:r>
          </w:p>
          <w:p w14:paraId="796D3C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消纳潜力</w:t>
            </w:r>
          </w:p>
        </w:tc>
        <w:tc>
          <w:tcPr>
            <w:tcW w:w="2991" w:type="dxa"/>
            <w:noWrap w:val="0"/>
            <w:vAlign w:val="center"/>
          </w:tcPr>
          <w:p w14:paraId="0E045F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2025年1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—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9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月全社会新增用电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总量和用电增速。</w:t>
            </w:r>
          </w:p>
        </w:tc>
        <w:tc>
          <w:tcPr>
            <w:tcW w:w="995" w:type="dxa"/>
            <w:noWrap w:val="0"/>
            <w:vAlign w:val="center"/>
          </w:tcPr>
          <w:p w14:paraId="3F4639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30%</w:t>
            </w:r>
          </w:p>
        </w:tc>
        <w:tc>
          <w:tcPr>
            <w:tcW w:w="3035" w:type="dxa"/>
            <w:noWrap w:val="0"/>
            <w:vAlign w:val="center"/>
          </w:tcPr>
          <w:p w14:paraId="36D80C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总分100分。新增用电总量和用电增速各占50分，并分别计分。各项排名第一的县市得50分，按排名先后顺序依次递减2分，最低取0分。总分为两项得分之和。</w:t>
            </w:r>
          </w:p>
        </w:tc>
      </w:tr>
      <w:tr w14:paraId="09229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</w:trPr>
        <w:tc>
          <w:tcPr>
            <w:tcW w:w="835" w:type="dxa"/>
            <w:noWrap w:val="0"/>
            <w:vAlign w:val="center"/>
          </w:tcPr>
          <w:p w14:paraId="6A8E09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199" w:type="dxa"/>
            <w:noWrap w:val="0"/>
            <w:vAlign w:val="center"/>
          </w:tcPr>
          <w:p w14:paraId="0231F8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所在县市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储能占新能源装机比例</w:t>
            </w:r>
          </w:p>
        </w:tc>
        <w:tc>
          <w:tcPr>
            <w:tcW w:w="2991" w:type="dxa"/>
            <w:noWrap w:val="0"/>
            <w:vAlign w:val="center"/>
          </w:tcPr>
          <w:p w14:paraId="128607C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辖区范围内储能设施规模占新能源装机比例。已投运的中小型</w:t>
            </w:r>
            <w:r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  <w:t>抽水蓄能、新型储能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，按装机容量2倍计算。（按截至2025年9月底实际规模计算）</w:t>
            </w:r>
          </w:p>
        </w:tc>
        <w:tc>
          <w:tcPr>
            <w:tcW w:w="995" w:type="dxa"/>
            <w:noWrap w:val="0"/>
            <w:vAlign w:val="center"/>
          </w:tcPr>
          <w:p w14:paraId="090FEF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30%</w:t>
            </w:r>
          </w:p>
        </w:tc>
        <w:tc>
          <w:tcPr>
            <w:tcW w:w="3035" w:type="dxa"/>
            <w:noWrap w:val="0"/>
            <w:vAlign w:val="center"/>
          </w:tcPr>
          <w:p w14:paraId="4D22CF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总分100分。按灵活调节能力规模占新能源装机比例排名记分，排名第一的县市得100分，按排名先后顺序依次递减2分，最低取0分。</w:t>
            </w:r>
          </w:p>
        </w:tc>
      </w:tr>
      <w:tr w14:paraId="430EE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1" w:hRule="atLeast"/>
        </w:trPr>
        <w:tc>
          <w:tcPr>
            <w:tcW w:w="835" w:type="dxa"/>
            <w:noWrap w:val="0"/>
            <w:vAlign w:val="center"/>
          </w:tcPr>
          <w:p w14:paraId="19DB6C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199" w:type="dxa"/>
            <w:noWrap w:val="0"/>
            <w:vAlign w:val="center"/>
          </w:tcPr>
          <w:p w14:paraId="1EE2E9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业主单位调节能力贡献度</w:t>
            </w:r>
          </w:p>
        </w:tc>
        <w:tc>
          <w:tcPr>
            <w:tcW w:w="2991" w:type="dxa"/>
            <w:noWrap w:val="0"/>
            <w:vAlign w:val="center"/>
          </w:tcPr>
          <w:p w14:paraId="591A1B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项目单位所属省级公司在鄂投资灵活调节能力（</w:t>
            </w:r>
            <w:r>
              <w:rPr>
                <w:rFonts w:hint="eastAsia" w:eastAsia="仿宋_GB2312" w:cs="Times New Roman"/>
                <w:color w:val="auto"/>
                <w:sz w:val="24"/>
                <w:szCs w:val="24"/>
                <w:shd w:val="clear" w:color="auto" w:fill="auto"/>
                <w:vertAlign w:val="baseline"/>
                <w:lang w:val="en-US" w:eastAsia="zh-CN"/>
              </w:rPr>
              <w:t>火电灵活性改造、新建成的调峰煤电，按</w:t>
            </w:r>
            <w:r>
              <w:rPr>
                <w:rFonts w:hint="default" w:eastAsia="仿宋_GB2312" w:cs="Times New Roman"/>
                <w:color w:val="auto"/>
                <w:sz w:val="24"/>
                <w:szCs w:val="24"/>
                <w:shd w:val="clear" w:color="auto" w:fill="auto"/>
                <w:vertAlign w:val="baseline"/>
                <w:lang w:val="en-US" w:eastAsia="zh-CN"/>
              </w:rPr>
              <w:t>实际新增调峰能力</w:t>
            </w:r>
            <w:r>
              <w:rPr>
                <w:rFonts w:hint="eastAsia" w:eastAsia="仿宋_GB2312" w:cs="Times New Roman"/>
                <w:color w:val="auto"/>
                <w:sz w:val="24"/>
                <w:szCs w:val="24"/>
                <w:shd w:val="clear" w:color="auto" w:fill="auto"/>
                <w:vertAlign w:val="baseline"/>
                <w:lang w:val="en-US" w:eastAsia="zh-CN"/>
              </w:rPr>
              <w:t>计算；在运的调峰燃气电站，按装机容量计算；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已投运的</w:t>
            </w:r>
            <w:r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  <w:t>抽水蓄能、新型储能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，按装机容量2倍计算）规模（万千瓦）。</w:t>
            </w:r>
          </w:p>
        </w:tc>
        <w:tc>
          <w:tcPr>
            <w:tcW w:w="995" w:type="dxa"/>
            <w:noWrap w:val="0"/>
            <w:vAlign w:val="center"/>
          </w:tcPr>
          <w:p w14:paraId="0541BB0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30%</w:t>
            </w:r>
          </w:p>
        </w:tc>
        <w:tc>
          <w:tcPr>
            <w:tcW w:w="3035" w:type="dxa"/>
            <w:noWrap w:val="0"/>
            <w:vAlign w:val="center"/>
          </w:tcPr>
          <w:p w14:paraId="32B343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总分100分。按灵活调节能力规模排名记分，排名第一的项目得100分，按排名先后顺序依次递减5分，最低取0分。</w:t>
            </w:r>
          </w:p>
        </w:tc>
      </w:tr>
      <w:tr w14:paraId="58F73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1" w:hRule="atLeast"/>
        </w:trPr>
        <w:tc>
          <w:tcPr>
            <w:tcW w:w="835" w:type="dxa"/>
            <w:noWrap w:val="0"/>
            <w:vAlign w:val="center"/>
          </w:tcPr>
          <w:p w14:paraId="3F1C8F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199" w:type="dxa"/>
            <w:noWrap w:val="0"/>
            <w:vAlign w:val="center"/>
          </w:tcPr>
          <w:p w14:paraId="532277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送出通道保障能力</w:t>
            </w:r>
          </w:p>
        </w:tc>
        <w:tc>
          <w:tcPr>
            <w:tcW w:w="2991" w:type="dxa"/>
            <w:noWrap w:val="0"/>
            <w:vAlign w:val="center"/>
          </w:tcPr>
          <w:p w14:paraId="664D83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利用既有外送通道送出。</w:t>
            </w:r>
          </w:p>
        </w:tc>
        <w:tc>
          <w:tcPr>
            <w:tcW w:w="995" w:type="dxa"/>
            <w:noWrap w:val="0"/>
            <w:vAlign w:val="center"/>
          </w:tcPr>
          <w:p w14:paraId="78620E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10%</w:t>
            </w:r>
          </w:p>
        </w:tc>
        <w:tc>
          <w:tcPr>
            <w:tcW w:w="3035" w:type="dxa"/>
            <w:noWrap w:val="0"/>
            <w:vAlign w:val="center"/>
          </w:tcPr>
          <w:p w14:paraId="31E036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总分100分。利用既有外送通道的项目得100分。</w:t>
            </w:r>
          </w:p>
        </w:tc>
      </w:tr>
      <w:tr w14:paraId="3D88D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1" w:hRule="atLeast"/>
        </w:trPr>
        <w:tc>
          <w:tcPr>
            <w:tcW w:w="835" w:type="dxa"/>
            <w:noWrap w:val="0"/>
            <w:vAlign w:val="center"/>
          </w:tcPr>
          <w:p w14:paraId="18747E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199" w:type="dxa"/>
            <w:noWrap w:val="0"/>
            <w:vAlign w:val="center"/>
          </w:tcPr>
          <w:p w14:paraId="2D08AC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加分项</w:t>
            </w:r>
          </w:p>
        </w:tc>
        <w:tc>
          <w:tcPr>
            <w:tcW w:w="2991" w:type="dxa"/>
            <w:noWrap w:val="0"/>
            <w:vAlign w:val="center"/>
          </w:tcPr>
          <w:p w14:paraId="42B595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u w:val="none"/>
                <w:vertAlign w:val="baseline"/>
                <w:lang w:val="en-US" w:eastAsia="zh-CN"/>
              </w:rPr>
              <w:t>新能源发电企业自愿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投资建设电网</w:t>
            </w:r>
            <w:r>
              <w:rPr>
                <w:rFonts w:hint="eastAsia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侧新型独立储能电站。</w:t>
            </w:r>
          </w:p>
        </w:tc>
        <w:tc>
          <w:tcPr>
            <w:tcW w:w="995" w:type="dxa"/>
            <w:noWrap w:val="0"/>
            <w:vAlign w:val="center"/>
          </w:tcPr>
          <w:p w14:paraId="4550DA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35" w:type="dxa"/>
            <w:noWrap w:val="0"/>
            <w:vAlign w:val="center"/>
          </w:tcPr>
          <w:p w14:paraId="3E9128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总分10分。储能电站</w:t>
            </w:r>
            <w:r>
              <w:rPr>
                <w:rFonts w:hint="eastAsia" w:eastAsia="仿宋_GB2312" w:cs="Times New Roman"/>
                <w:sz w:val="24"/>
                <w:szCs w:val="24"/>
                <w:u w:val="none"/>
                <w:vertAlign w:val="baseline"/>
                <w:lang w:val="en-US" w:eastAsia="zh-CN"/>
              </w:rPr>
              <w:t>（2小时及以上）</w:t>
            </w:r>
            <w:r>
              <w:rPr>
                <w:rFonts w:hint="eastAsia" w:eastAsia="仿宋_GB2312" w:cs="Times New Roman"/>
                <w:sz w:val="24"/>
                <w:szCs w:val="24"/>
                <w:vertAlign w:val="baseline"/>
                <w:lang w:val="en-US" w:eastAsia="zh-CN"/>
              </w:rPr>
              <w:t>功率5万千瓦及以上得满分。功率每减1万，得分减2分。</w:t>
            </w:r>
          </w:p>
        </w:tc>
      </w:tr>
    </w:tbl>
    <w:p w14:paraId="0AA1CED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995F7F"/>
    <w:rsid w:val="4523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List Paragraph_a7861cf5-61f2-45e2-9eb6-3a5ace229ed7"/>
    <w:basedOn w:val="1"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546</Words>
  <Characters>580</Characters>
  <Lines>0</Lines>
  <Paragraphs>0</Paragraphs>
  <TotalTime>0</TotalTime>
  <ScaleCrop>false</ScaleCrop>
  <LinksUpToDate>false</LinksUpToDate>
  <CharactersWithSpaces>580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2025-10-28T01:58:00Z</dcterms:created>
  <dc:creator>YXM</dc:creator>
  <cp:lastModifiedBy>ikik</cp:lastModifiedBy>
  <dcterms:modified xsi:type="dcterms:W3CDTF">2025-10-30T10:03:00Z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eyJoZGlkIjoiZDZlNzYxMGExMGNlNDEyYjA2NDhjNTNiMmFiZDFjYzkiLCJ1c2VySWQiOiIzMTEwODI1ODcifQ==</vt:lpwstr>
  </property>
  <property fmtid="{D5CDD505-2E9C-101B-9397-08002B2CF9AE}" pid="4" name="ICV">
    <vt:lpwstr>00DB00729B54464A93650BC68C4EEBB6_13</vt:lpwstr>
  </property>
</Properties>
</file>